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034E" w14:textId="77777777" w:rsidR="00E6067E" w:rsidRDefault="00B12E00" w:rsidP="00D2750F">
      <w:pPr>
        <w:tabs>
          <w:tab w:val="left" w:pos="1134"/>
          <w:tab w:val="righ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129618872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700F5" w:rsidRPr="00B700F5">
        <w:rPr>
          <w:rFonts w:ascii="Times New Roman" w:hAnsi="Times New Roman" w:cs="Times New Roman"/>
          <w:b/>
          <w:sz w:val="26"/>
          <w:szCs w:val="26"/>
        </w:rPr>
        <w:t xml:space="preserve">OBRAZLOŽENJE  </w:t>
      </w:r>
      <w:r w:rsidR="00FD43E5">
        <w:rPr>
          <w:rFonts w:ascii="Times New Roman" w:hAnsi="Times New Roman" w:cs="Times New Roman"/>
          <w:b/>
          <w:sz w:val="26"/>
          <w:szCs w:val="26"/>
        </w:rPr>
        <w:t>POLU</w:t>
      </w:r>
      <w:r w:rsidR="005D488E">
        <w:rPr>
          <w:rFonts w:ascii="Times New Roman" w:hAnsi="Times New Roman" w:cs="Times New Roman"/>
          <w:b/>
          <w:sz w:val="26"/>
          <w:szCs w:val="26"/>
        </w:rPr>
        <w:t xml:space="preserve">GODIŠNJEG IZVJEŠTAJA O IZVRŠENJU </w:t>
      </w:r>
      <w:r w:rsidR="00B700F5" w:rsidRPr="00B700F5">
        <w:rPr>
          <w:rFonts w:ascii="Times New Roman" w:hAnsi="Times New Roman" w:cs="Times New Roman"/>
          <w:b/>
          <w:sz w:val="26"/>
          <w:szCs w:val="26"/>
        </w:rPr>
        <w:t>FINANC</w:t>
      </w:r>
      <w:r w:rsidR="00F91590">
        <w:rPr>
          <w:rFonts w:ascii="Times New Roman" w:hAnsi="Times New Roman" w:cs="Times New Roman"/>
          <w:b/>
          <w:sz w:val="26"/>
          <w:szCs w:val="26"/>
        </w:rPr>
        <w:t xml:space="preserve">IJSKOG PLANA </w:t>
      </w:r>
      <w:r w:rsidR="00234688" w:rsidRPr="00234688">
        <w:rPr>
          <w:rFonts w:ascii="Times New Roman" w:hAnsi="Times New Roman" w:cs="Times New Roman"/>
          <w:b/>
          <w:sz w:val="26"/>
          <w:szCs w:val="26"/>
        </w:rPr>
        <w:t>ZA 202</w:t>
      </w:r>
      <w:r w:rsidR="00FD43E5">
        <w:rPr>
          <w:rFonts w:ascii="Times New Roman" w:hAnsi="Times New Roman" w:cs="Times New Roman"/>
          <w:b/>
          <w:sz w:val="26"/>
          <w:szCs w:val="26"/>
        </w:rPr>
        <w:t>3</w:t>
      </w:r>
      <w:r w:rsidR="00234688" w:rsidRPr="0023468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9D9AA78" w14:textId="76C49F4A" w:rsidR="00B700F5" w:rsidRDefault="00E6067E" w:rsidP="00D2750F">
      <w:pPr>
        <w:tabs>
          <w:tab w:val="left" w:pos="1134"/>
          <w:tab w:val="righ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 RAZDOBLJE SIJEČANJ</w:t>
      </w:r>
      <w:r w:rsidR="008659A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 LIPANJ 2023.</w:t>
      </w:r>
    </w:p>
    <w:p w14:paraId="49609CA6" w14:textId="77777777" w:rsidR="001A6472" w:rsidRDefault="001A6472" w:rsidP="00D2750F">
      <w:pPr>
        <w:pStyle w:val="NASLOV"/>
        <w:spacing w:line="240" w:lineRule="auto"/>
      </w:pPr>
    </w:p>
    <w:p w14:paraId="1A6662B3" w14:textId="77777777" w:rsidR="0063636C" w:rsidRPr="000024B9" w:rsidRDefault="0063636C" w:rsidP="00D2750F">
      <w:pPr>
        <w:pStyle w:val="NASLOV"/>
        <w:spacing w:line="240" w:lineRule="auto"/>
      </w:pPr>
      <w:r w:rsidRPr="000024B9">
        <w:t>UVOD</w:t>
      </w:r>
      <w:r w:rsidR="002801C6" w:rsidRPr="000024B9">
        <w:t>NE NAPOMENE</w:t>
      </w:r>
      <w:bookmarkEnd w:id="0"/>
    </w:p>
    <w:p w14:paraId="64E5310F" w14:textId="77777777" w:rsidR="00D2750F" w:rsidRDefault="00D2750F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479809F4" w14:textId="312D7F81" w:rsidR="001A6472" w:rsidRPr="001A6472" w:rsidRDefault="001A6472" w:rsidP="00E6067E">
      <w:pPr>
        <w:pStyle w:val="ListParagraph"/>
        <w:spacing w:after="0" w:line="240" w:lineRule="auto"/>
        <w:rPr>
          <w:rFonts w:eastAsiaTheme="minorHAnsi"/>
        </w:rPr>
      </w:pPr>
      <w:r w:rsidRPr="001A6472">
        <w:rPr>
          <w:rFonts w:eastAsiaTheme="minorHAnsi"/>
        </w:rPr>
        <w:t>Zakonom o proračunu (</w:t>
      </w:r>
      <w:r w:rsidR="00C816B4">
        <w:rPr>
          <w:rFonts w:eastAsiaTheme="minorHAnsi"/>
        </w:rPr>
        <w:t xml:space="preserve">NN </w:t>
      </w:r>
      <w:r w:rsidRPr="001A6472">
        <w:rPr>
          <w:rFonts w:eastAsiaTheme="minorHAnsi"/>
        </w:rPr>
        <w:t xml:space="preserve">144/21) koji je stupio na snagu 1. siječnja 2022. godine propisan je sadržaj polugodišnjeg i godišnjeg izvještaja </w:t>
      </w:r>
      <w:r w:rsidR="000A1B8F" w:rsidRPr="001A6472">
        <w:rPr>
          <w:rFonts w:eastAsiaTheme="minorHAnsi"/>
        </w:rPr>
        <w:t xml:space="preserve">o </w:t>
      </w:r>
      <w:r w:rsidR="000A1B8F" w:rsidRPr="000A1B8F">
        <w:rPr>
          <w:rFonts w:eastAsiaTheme="minorHAnsi"/>
        </w:rPr>
        <w:t>izvršenju proračuna odnosno financijskog plana</w:t>
      </w:r>
      <w:r w:rsidRPr="001A6472">
        <w:rPr>
          <w:rFonts w:eastAsiaTheme="minorHAnsi"/>
        </w:rPr>
        <w:t xml:space="preserve">. </w:t>
      </w:r>
      <w:r w:rsidR="00C53700" w:rsidRPr="00C53700">
        <w:rPr>
          <w:rFonts w:eastAsiaTheme="minorHAnsi"/>
        </w:rPr>
        <w:t xml:space="preserve">Ministar financija </w:t>
      </w:r>
      <w:r w:rsidR="00D2750F">
        <w:rPr>
          <w:rFonts w:eastAsiaTheme="minorHAnsi"/>
        </w:rPr>
        <w:t xml:space="preserve"> je Pravilnikom</w:t>
      </w:r>
      <w:r w:rsidR="00D2750F" w:rsidRPr="00D2750F">
        <w:rPr>
          <w:rFonts w:eastAsiaTheme="minorHAnsi"/>
        </w:rPr>
        <w:t xml:space="preserve"> o polugodišnjem i godišnjem izvještaju o izvršenju proračuna</w:t>
      </w:r>
      <w:r w:rsidR="00505B85">
        <w:rPr>
          <w:rFonts w:eastAsiaTheme="minorHAnsi"/>
        </w:rPr>
        <w:t xml:space="preserve"> i financijskog plana</w:t>
      </w:r>
      <w:r w:rsidR="00D2750F" w:rsidRPr="00D2750F">
        <w:rPr>
          <w:rFonts w:eastAsiaTheme="minorHAnsi"/>
        </w:rPr>
        <w:t xml:space="preserve"> </w:t>
      </w:r>
      <w:r w:rsidR="00C53700">
        <w:rPr>
          <w:rFonts w:eastAsiaTheme="minorHAnsi"/>
        </w:rPr>
        <w:t>(</w:t>
      </w:r>
      <w:r w:rsidR="00C53700" w:rsidRPr="00C53700">
        <w:rPr>
          <w:rFonts w:eastAsiaTheme="minorHAnsi"/>
        </w:rPr>
        <w:t xml:space="preserve">NN </w:t>
      </w:r>
      <w:bookmarkStart w:id="1" w:name="_GoBack"/>
      <w:r w:rsidR="00000118">
        <w:rPr>
          <w:rFonts w:eastAsiaTheme="minorHAnsi"/>
        </w:rPr>
        <w:t>85/23</w:t>
      </w:r>
      <w:bookmarkEnd w:id="1"/>
      <w:r w:rsidR="00C53700" w:rsidRPr="00C53700">
        <w:rPr>
          <w:rFonts w:eastAsiaTheme="minorHAnsi"/>
        </w:rPr>
        <w:t>)</w:t>
      </w:r>
      <w:r w:rsidR="00D2750F">
        <w:t xml:space="preserve"> propisao </w:t>
      </w:r>
      <w:r w:rsidR="0041322E">
        <w:rPr>
          <w:rFonts w:eastAsiaTheme="minorHAnsi"/>
        </w:rPr>
        <w:t>izgled, (detaljniji) sadržaj, obveznike primjene, način i rokovi pod</w:t>
      </w:r>
      <w:r w:rsidR="00D2750F" w:rsidRPr="00D2750F">
        <w:rPr>
          <w:rFonts w:eastAsiaTheme="minorHAnsi"/>
        </w:rPr>
        <w:t>nošenja, donošenja i objave polugodi</w:t>
      </w:r>
      <w:r w:rsidR="0041322E">
        <w:rPr>
          <w:rFonts w:eastAsiaTheme="minorHAnsi"/>
        </w:rPr>
        <w:t xml:space="preserve">šnjeg i godišnjeg izvještaja o </w:t>
      </w:r>
      <w:r w:rsidR="00D2750F" w:rsidRPr="00D2750F">
        <w:rPr>
          <w:rFonts w:eastAsiaTheme="minorHAnsi"/>
        </w:rPr>
        <w:t>izvršenju proračuna i financijskog plana.</w:t>
      </w:r>
    </w:p>
    <w:p w14:paraId="2EC2B8FF" w14:textId="77777777" w:rsidR="00FD43E5" w:rsidRDefault="00FD43E5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7F3FE2ED" w14:textId="6661A515" w:rsidR="00023D0A" w:rsidRDefault="00023D0A" w:rsidP="00D2750F">
      <w:pPr>
        <w:pStyle w:val="ListParagraph"/>
        <w:spacing w:before="0" w:after="0" w:line="240" w:lineRule="auto"/>
        <w:rPr>
          <w:rFonts w:eastAsiaTheme="minorHAnsi"/>
        </w:rPr>
      </w:pPr>
      <w:r w:rsidRPr="00023D0A">
        <w:rPr>
          <w:rFonts w:eastAsiaTheme="minorHAnsi"/>
        </w:rPr>
        <w:t xml:space="preserve">Ovaj </w:t>
      </w:r>
      <w:r w:rsidR="00161971">
        <w:rPr>
          <w:rFonts w:eastAsiaTheme="minorHAnsi"/>
        </w:rPr>
        <w:t>Polug</w:t>
      </w:r>
      <w:r w:rsidRPr="00023D0A">
        <w:rPr>
          <w:rFonts w:eastAsiaTheme="minorHAnsi"/>
        </w:rPr>
        <w:t xml:space="preserve">odišnji izvještaj o izvršenju </w:t>
      </w:r>
      <w:r w:rsidR="00E6067E">
        <w:rPr>
          <w:rFonts w:eastAsiaTheme="minorHAnsi"/>
        </w:rPr>
        <w:t xml:space="preserve">Financijskog </w:t>
      </w:r>
      <w:r w:rsidRPr="00023D0A">
        <w:rPr>
          <w:rFonts w:eastAsiaTheme="minorHAnsi"/>
        </w:rPr>
        <w:t xml:space="preserve">plana </w:t>
      </w:r>
      <w:r w:rsidR="00E6067E">
        <w:rPr>
          <w:rFonts w:eastAsiaTheme="minorHAnsi"/>
        </w:rPr>
        <w:t xml:space="preserve">za 2023. </w:t>
      </w:r>
      <w:r w:rsidR="00161971">
        <w:rPr>
          <w:rFonts w:eastAsiaTheme="minorHAnsi"/>
        </w:rPr>
        <w:t>Instituta za vode Josip Juraj Strossmayer (u nastavku: Institut)</w:t>
      </w:r>
      <w:r w:rsidR="00E6067E">
        <w:rPr>
          <w:rFonts w:eastAsiaTheme="minorHAnsi"/>
        </w:rPr>
        <w:t xml:space="preserve"> za razdoblje siječanj – lipanj 2023.</w:t>
      </w:r>
      <w:r w:rsidRPr="00023D0A">
        <w:rPr>
          <w:rFonts w:eastAsiaTheme="minorHAnsi"/>
        </w:rPr>
        <w:t xml:space="preserve"> izrađen je sukladno Uputi o primjeni modificiranog novčanog načela u postupku planiranja i izvršavanja državnog proračuna i financijskih planova izvanproračunskih korisnika državnog proračuna</w:t>
      </w:r>
      <w:r>
        <w:rPr>
          <w:rFonts w:eastAsiaTheme="minorHAnsi"/>
        </w:rPr>
        <w:t>.</w:t>
      </w:r>
    </w:p>
    <w:p w14:paraId="50F1AB90" w14:textId="77777777" w:rsidR="00A41DEC" w:rsidRDefault="00A41DEC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624F8AC1" w14:textId="77777777" w:rsidR="00023D0A" w:rsidRDefault="00563B76" w:rsidP="00D2750F">
      <w:pPr>
        <w:pStyle w:val="ListParagraph"/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>T</w:t>
      </w:r>
      <w:r w:rsidR="00023D0A" w:rsidRPr="00023D0A">
        <w:rPr>
          <w:rFonts w:eastAsiaTheme="minorHAnsi"/>
        </w:rPr>
        <w:t>emeljem članka 86.</w:t>
      </w:r>
      <w:r w:rsidR="00F91590">
        <w:rPr>
          <w:rFonts w:eastAsiaTheme="minorHAnsi"/>
        </w:rPr>
        <w:t>, stavak 3.</w:t>
      </w:r>
      <w:r w:rsidR="00023D0A" w:rsidRPr="00023D0A">
        <w:rPr>
          <w:rFonts w:eastAsiaTheme="minorHAnsi"/>
        </w:rPr>
        <w:t xml:space="preserve"> Zakona o proračunu proračunski korisnik dužan je upravljačkom tijelu, u skladu s aktima kojima je uređen rad proračunskog korisnika, dostaviti prijedlog </w:t>
      </w:r>
      <w:r w:rsidR="00FD43E5">
        <w:rPr>
          <w:rFonts w:eastAsiaTheme="minorHAnsi"/>
        </w:rPr>
        <w:t>polu</w:t>
      </w:r>
      <w:r w:rsidR="00023D0A" w:rsidRPr="00023D0A">
        <w:rPr>
          <w:rFonts w:eastAsiaTheme="minorHAnsi"/>
        </w:rPr>
        <w:t xml:space="preserve">godišnjeg izvještaja o izvršenju financijskog plana za proteklo razdoblje na usvajanje do 31. </w:t>
      </w:r>
      <w:r w:rsidR="00FD43E5">
        <w:rPr>
          <w:rFonts w:eastAsiaTheme="minorHAnsi"/>
        </w:rPr>
        <w:t>srpnja</w:t>
      </w:r>
      <w:r w:rsidR="00023D0A" w:rsidRPr="00023D0A">
        <w:rPr>
          <w:rFonts w:eastAsiaTheme="minorHAnsi"/>
        </w:rPr>
        <w:t xml:space="preserve"> tekuće proračunske godine.</w:t>
      </w:r>
    </w:p>
    <w:p w14:paraId="208AE6FB" w14:textId="77777777" w:rsidR="00D2750F" w:rsidRDefault="00D2750F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0BCBEEFF" w14:textId="77777777" w:rsidR="002801C6" w:rsidRDefault="002801C6" w:rsidP="00D2750F">
      <w:pPr>
        <w:pStyle w:val="ListParagraph"/>
        <w:spacing w:before="0" w:after="0" w:line="240" w:lineRule="auto"/>
        <w:rPr>
          <w:rFonts w:eastAsiaTheme="minorHAnsi"/>
        </w:rPr>
      </w:pPr>
      <w:r w:rsidRPr="00EA32E7">
        <w:rPr>
          <w:rFonts w:eastAsiaTheme="minorHAnsi"/>
        </w:rPr>
        <w:t>Vlada Republike Hrvatske na temelju članka 212. stavka 1. Zakona o vodama (</w:t>
      </w:r>
      <w:r w:rsidR="00C816B4" w:rsidRPr="00C816B4">
        <w:rPr>
          <w:rFonts w:eastAsiaTheme="minorHAnsi"/>
        </w:rPr>
        <w:t>NN</w:t>
      </w:r>
      <w:r w:rsidRPr="00EA32E7">
        <w:rPr>
          <w:rFonts w:eastAsiaTheme="minorHAnsi"/>
        </w:rPr>
        <w:t xml:space="preserve"> 66/19. i 84/21.), je na sjednici održanoj 23. prosinca 2021. donijela </w:t>
      </w:r>
      <w:r w:rsidR="00D2750F">
        <w:rPr>
          <w:rFonts w:eastAsiaTheme="minorHAnsi"/>
        </w:rPr>
        <w:t>Uredbu o osnivanju Instituta za vode »Josip Juraj S</w:t>
      </w:r>
      <w:r w:rsidR="00D2750F" w:rsidRPr="00EA32E7">
        <w:rPr>
          <w:rFonts w:eastAsiaTheme="minorHAnsi"/>
        </w:rPr>
        <w:t>trossmayer«.</w:t>
      </w:r>
    </w:p>
    <w:p w14:paraId="299C6EE0" w14:textId="77777777" w:rsidR="00A41DEC" w:rsidRPr="00EA32E7" w:rsidRDefault="00A41DEC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715650BA" w14:textId="07C3D850" w:rsidR="002801C6" w:rsidRDefault="002801C6" w:rsidP="00D2750F">
      <w:pPr>
        <w:pStyle w:val="ListParagraph"/>
        <w:spacing w:before="0" w:after="0" w:line="240" w:lineRule="auto"/>
        <w:rPr>
          <w:rFonts w:eastAsiaTheme="minorHAnsi"/>
        </w:rPr>
      </w:pPr>
      <w:r w:rsidRPr="00EA32E7">
        <w:rPr>
          <w:rFonts w:eastAsiaTheme="minorHAnsi"/>
        </w:rPr>
        <w:t>Trgovački sud u Zagrebu objavljuje upis osnivanje ustanove, u Sudski registar proveden po rješenju pod poslovnim brojem Tt-22/5339-3 od 21. veljače 2022.</w:t>
      </w:r>
    </w:p>
    <w:p w14:paraId="1763E91B" w14:textId="77777777" w:rsidR="00A41DEC" w:rsidRPr="00EA32E7" w:rsidRDefault="00A41DEC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6EF27C42" w14:textId="77777777" w:rsidR="002801C6" w:rsidRDefault="002801C6" w:rsidP="00D2750F">
      <w:pPr>
        <w:pStyle w:val="ListParagraph"/>
        <w:spacing w:before="0" w:after="0" w:line="240" w:lineRule="auto"/>
        <w:rPr>
          <w:rFonts w:eastAsiaTheme="minorHAnsi"/>
        </w:rPr>
      </w:pPr>
      <w:r w:rsidRPr="00EA32E7">
        <w:rPr>
          <w:rFonts w:eastAsiaTheme="minorHAnsi"/>
        </w:rPr>
        <w:t>Izmjenama i dopunama državnog proračuna (Narodne novine 62/2022) uvršten je kao Organizacijska klasifikacija GLAVA šifra 07780 u okviru Razdjela Ministarstva gospodarstva i održivog razvoja.</w:t>
      </w:r>
    </w:p>
    <w:p w14:paraId="6795ECCE" w14:textId="77777777" w:rsidR="00A41DEC" w:rsidRPr="00EA32E7" w:rsidRDefault="00A41DEC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7DAA8C59" w14:textId="77777777" w:rsidR="008C7318" w:rsidRDefault="008C7318" w:rsidP="00D2750F">
      <w:pPr>
        <w:pStyle w:val="ListParagraph"/>
        <w:spacing w:before="0" w:after="0" w:line="240" w:lineRule="auto"/>
        <w:rPr>
          <w:rFonts w:eastAsiaTheme="minorHAnsi"/>
        </w:rPr>
      </w:pPr>
      <w:r w:rsidRPr="00EA32E7">
        <w:rPr>
          <w:rFonts w:eastAsiaTheme="minorHAnsi"/>
        </w:rPr>
        <w:t xml:space="preserve">Dana 10.06.2022. </w:t>
      </w:r>
      <w:r w:rsidR="00D2750F">
        <w:rPr>
          <w:rFonts w:eastAsiaTheme="minorHAnsi"/>
        </w:rPr>
        <w:t xml:space="preserve">Institut je upisan </w:t>
      </w:r>
      <w:r w:rsidRPr="00EA32E7">
        <w:rPr>
          <w:rFonts w:eastAsiaTheme="minorHAnsi"/>
        </w:rPr>
        <w:t>u Registar proračunskih i izvanproračunskih korisnika RKP broj: 52469.</w:t>
      </w:r>
    </w:p>
    <w:p w14:paraId="12D739A8" w14:textId="77777777" w:rsidR="0041322E" w:rsidRDefault="0041322E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65CB974E" w14:textId="77777777" w:rsidR="0041322E" w:rsidRPr="00EA32E7" w:rsidRDefault="0041322E" w:rsidP="00D2750F">
      <w:pPr>
        <w:pStyle w:val="ListParagraph"/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Financijski plan Instituta za 2023., u okviru Državnog proračuna za 2023 (NN 145/22) sadrži prihode i rashode u iznosu od </w:t>
      </w:r>
      <w:r w:rsidRPr="0041322E">
        <w:rPr>
          <w:rFonts w:eastAsiaTheme="minorHAnsi"/>
        </w:rPr>
        <w:t>9.208.308,00 EUR</w:t>
      </w:r>
    </w:p>
    <w:p w14:paraId="4E786ACB" w14:textId="77777777" w:rsidR="00D2750F" w:rsidRDefault="00D2750F" w:rsidP="00D2750F">
      <w:pPr>
        <w:pStyle w:val="ListParagraph"/>
        <w:spacing w:before="0" w:after="0" w:line="240" w:lineRule="auto"/>
        <w:rPr>
          <w:rFonts w:eastAsiaTheme="minorHAnsi"/>
        </w:rPr>
      </w:pPr>
    </w:p>
    <w:p w14:paraId="7CA5D751" w14:textId="70B14C33" w:rsidR="002801C6" w:rsidRDefault="002801C6" w:rsidP="00D2750F">
      <w:pPr>
        <w:pStyle w:val="ListParagraph"/>
        <w:spacing w:before="0" w:after="0" w:line="240" w:lineRule="auto"/>
        <w:rPr>
          <w:rFonts w:eastAsiaTheme="minorHAnsi"/>
        </w:rPr>
      </w:pPr>
      <w:r w:rsidRPr="0041322E">
        <w:rPr>
          <w:rFonts w:eastAsiaTheme="minorHAnsi"/>
        </w:rPr>
        <w:t xml:space="preserve">Izmjenama i dopunama </w:t>
      </w:r>
      <w:r w:rsidR="00D2750F" w:rsidRPr="0041322E">
        <w:rPr>
          <w:rFonts w:eastAsiaTheme="minorHAnsi"/>
        </w:rPr>
        <w:t>D</w:t>
      </w:r>
      <w:r w:rsidR="008C7318" w:rsidRPr="0041322E">
        <w:rPr>
          <w:rFonts w:eastAsiaTheme="minorHAnsi"/>
        </w:rPr>
        <w:t>ržavnog proračuna (</w:t>
      </w:r>
      <w:r w:rsidR="00FD43E5" w:rsidRPr="0041322E">
        <w:rPr>
          <w:rFonts w:eastAsiaTheme="minorHAnsi"/>
        </w:rPr>
        <w:t>NN 63/23</w:t>
      </w:r>
      <w:r w:rsidR="008C7318" w:rsidRPr="0041322E">
        <w:rPr>
          <w:rFonts w:eastAsiaTheme="minorHAnsi"/>
        </w:rPr>
        <w:t xml:space="preserve">) </w:t>
      </w:r>
      <w:r w:rsidR="00FD43E5" w:rsidRPr="0041322E">
        <w:rPr>
          <w:rFonts w:eastAsiaTheme="minorHAnsi"/>
        </w:rPr>
        <w:t xml:space="preserve">ukupno </w:t>
      </w:r>
      <w:r w:rsidR="008C7318" w:rsidRPr="0041322E">
        <w:rPr>
          <w:rFonts w:eastAsiaTheme="minorHAnsi"/>
        </w:rPr>
        <w:t xml:space="preserve">planirani iznos </w:t>
      </w:r>
      <w:r w:rsidR="0041322E">
        <w:rPr>
          <w:rFonts w:eastAsiaTheme="minorHAnsi"/>
        </w:rPr>
        <w:t xml:space="preserve">prihoda i rashoda Financijskog plana Instituta za 2023. </w:t>
      </w:r>
      <w:r w:rsidR="0041322E" w:rsidRPr="0041322E">
        <w:rPr>
          <w:rFonts w:eastAsiaTheme="minorHAnsi"/>
        </w:rPr>
        <w:t xml:space="preserve">nije </w:t>
      </w:r>
      <w:r w:rsidR="00FD43E5" w:rsidRPr="0041322E">
        <w:rPr>
          <w:rFonts w:eastAsiaTheme="minorHAnsi"/>
        </w:rPr>
        <w:t>se mijenjao</w:t>
      </w:r>
      <w:r w:rsidR="008C7318" w:rsidRPr="0041322E">
        <w:rPr>
          <w:rFonts w:eastAsiaTheme="minorHAnsi"/>
        </w:rPr>
        <w:t>.</w:t>
      </w:r>
    </w:p>
    <w:p w14:paraId="01423C02" w14:textId="77777777" w:rsidR="00963EFA" w:rsidRPr="00EA32E7" w:rsidRDefault="00963EFA" w:rsidP="00D2750F">
      <w:pPr>
        <w:spacing w:after="0" w:line="240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6504DCAF" w14:textId="77777777" w:rsidR="00F91590" w:rsidRDefault="0063636C" w:rsidP="00D2750F">
      <w:pPr>
        <w:pStyle w:val="NASLOV"/>
        <w:spacing w:line="240" w:lineRule="auto"/>
      </w:pPr>
      <w:bookmarkStart w:id="2" w:name="_Toc129618873"/>
      <w:r w:rsidRPr="00EA32E7">
        <w:t>PRIHODI</w:t>
      </w:r>
      <w:r w:rsidR="00F91590">
        <w:t xml:space="preserve"> I</w:t>
      </w:r>
      <w:r w:rsidR="00F91590" w:rsidRPr="00F91590">
        <w:t xml:space="preserve"> RASHODI</w:t>
      </w:r>
    </w:p>
    <w:p w14:paraId="06931C1E" w14:textId="77777777" w:rsidR="00D2750F" w:rsidRDefault="00D2750F" w:rsidP="00D2750F">
      <w:pPr>
        <w:pStyle w:val="ListParagraph"/>
        <w:spacing w:before="0" w:after="0" w:line="240" w:lineRule="auto"/>
      </w:pPr>
    </w:p>
    <w:p w14:paraId="54AA511C" w14:textId="7BCFCB2E" w:rsidR="00F91590" w:rsidRDefault="00B63C7F" w:rsidP="00D2750F">
      <w:pPr>
        <w:pStyle w:val="ListParagraph"/>
        <w:spacing w:before="0" w:after="0" w:line="240" w:lineRule="auto"/>
      </w:pPr>
      <w:r>
        <w:t>Sukladno članku 212. stavak 3.</w:t>
      </w:r>
      <w:r w:rsidR="00F91590" w:rsidRPr="00EA32E7">
        <w:t xml:space="preserve"> Zakona o vodama (NN 66/19 i 84/21) i člankom 14. stavkom 5. Uredbe o osnivanju Instituta za vode „Josip Juraj Strossmayer“ sredstva za financiranje poslovanja Instituta osiguravaju se iz financijskog plana Hrvatskih voda i planirana su na izvoru 52 Ostale pomoći i to u </w:t>
      </w:r>
      <w:r w:rsidR="000F4F8B" w:rsidRPr="000F4F8B">
        <w:t xml:space="preserve">okviru </w:t>
      </w:r>
      <w:r w:rsidR="00000118">
        <w:t>skupine</w:t>
      </w:r>
      <w:r w:rsidR="00000118" w:rsidRPr="000F4F8B">
        <w:t xml:space="preserve"> </w:t>
      </w:r>
      <w:r w:rsidR="000F4F8B" w:rsidRPr="000F4F8B">
        <w:t xml:space="preserve">ekonomske klasifikacije </w:t>
      </w:r>
      <w:bookmarkStart w:id="3" w:name="_Hlk141077047"/>
      <w:r w:rsidR="00000118" w:rsidRPr="00000118">
        <w:t xml:space="preserve">Pomoći iz inozemstva i od </w:t>
      </w:r>
      <w:r w:rsidR="00000118" w:rsidRPr="00000118">
        <w:lastRenderedPageBreak/>
        <w:t>subjekata unutar općeg proračuna</w:t>
      </w:r>
      <w:r w:rsidR="00000118">
        <w:t xml:space="preserve"> </w:t>
      </w:r>
      <w:r w:rsidR="00F91590" w:rsidRPr="00EA32E7">
        <w:t xml:space="preserve">iznosu od </w:t>
      </w:r>
      <w:bookmarkEnd w:id="3"/>
      <w:r w:rsidR="00FA659C" w:rsidRPr="00FA659C">
        <w:t xml:space="preserve">9.208.308,00 </w:t>
      </w:r>
      <w:r w:rsidR="000F4F8B">
        <w:t xml:space="preserve">EUR </w:t>
      </w:r>
      <w:r w:rsidR="00F91590" w:rsidRPr="00FA659C">
        <w:t>za 202</w:t>
      </w:r>
      <w:r w:rsidR="00FA659C" w:rsidRPr="00FA659C">
        <w:t>3</w:t>
      </w:r>
      <w:r w:rsidR="00F91590" w:rsidRPr="00FA659C">
        <w:t xml:space="preserve">. godinu. Isti su ostvareni u iznosu od </w:t>
      </w:r>
      <w:r w:rsidR="00FA659C" w:rsidRPr="00FA659C">
        <w:t xml:space="preserve">4.300.000,00 EUR </w:t>
      </w:r>
      <w:r w:rsidR="00F91590" w:rsidRPr="00FA659C">
        <w:t xml:space="preserve">odnosno sa indeksom od </w:t>
      </w:r>
      <w:r w:rsidR="00FA659C" w:rsidRPr="00FA659C">
        <w:t>46,70</w:t>
      </w:r>
      <w:r w:rsidR="00F91590" w:rsidRPr="00FA659C">
        <w:t xml:space="preserve"> planiranih sredstava. </w:t>
      </w:r>
    </w:p>
    <w:p w14:paraId="26229939" w14:textId="77777777" w:rsidR="00B760A7" w:rsidRDefault="00B760A7" w:rsidP="00D2750F">
      <w:pPr>
        <w:pStyle w:val="ListParagraph"/>
        <w:spacing w:before="0" w:after="0" w:line="240" w:lineRule="auto"/>
      </w:pPr>
    </w:p>
    <w:p w14:paraId="4067820D" w14:textId="77777777" w:rsidR="00B760A7" w:rsidRDefault="00B760A7" w:rsidP="00B760A7">
      <w:pPr>
        <w:pStyle w:val="ListParagraph"/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Cjelokupna djelatnost Instituta se u </w:t>
      </w:r>
      <w:r w:rsidRPr="00184F1B">
        <w:rPr>
          <w:rFonts w:eastAsiaTheme="minorHAnsi"/>
        </w:rPr>
        <w:t>izvještajnom razdoblju u potpunosti financira</w:t>
      </w:r>
      <w:r>
        <w:rPr>
          <w:rFonts w:eastAsiaTheme="minorHAnsi"/>
        </w:rPr>
        <w:t>la</w:t>
      </w:r>
      <w:r w:rsidRPr="00184F1B">
        <w:rPr>
          <w:rFonts w:eastAsiaTheme="minorHAnsi"/>
        </w:rPr>
        <w:t xml:space="preserve"> kroz ovu Aktivnost i to iz izvora </w:t>
      </w:r>
      <w:r w:rsidRPr="00184F1B">
        <w:rPr>
          <w:rFonts w:eastAsiaTheme="minorHAnsi"/>
          <w:i/>
        </w:rPr>
        <w:t>52 Ostale pomoći</w:t>
      </w:r>
      <w:r w:rsidRPr="00184F1B">
        <w:rPr>
          <w:rFonts w:eastAsiaTheme="minorHAnsi"/>
        </w:rPr>
        <w:t xml:space="preserve">. </w:t>
      </w:r>
      <w:r>
        <w:rPr>
          <w:rFonts w:eastAsiaTheme="minorHAnsi"/>
        </w:rPr>
        <w:t>Ostvarenje ukupnih r</w:t>
      </w:r>
      <w:r w:rsidRPr="00184F1B">
        <w:rPr>
          <w:rFonts w:eastAsiaTheme="minorHAnsi"/>
        </w:rPr>
        <w:t>ashod</w:t>
      </w:r>
      <w:r>
        <w:rPr>
          <w:rFonts w:eastAsiaTheme="minorHAnsi"/>
        </w:rPr>
        <w:t>a</w:t>
      </w:r>
      <w:r w:rsidRPr="00184F1B">
        <w:rPr>
          <w:rFonts w:eastAsiaTheme="minorHAnsi"/>
        </w:rPr>
        <w:t xml:space="preserve"> Instituta </w:t>
      </w:r>
      <w:r>
        <w:rPr>
          <w:rFonts w:eastAsiaTheme="minorHAnsi"/>
        </w:rPr>
        <w:t xml:space="preserve">za prvo polugodište 2023. iznosi </w:t>
      </w:r>
      <w:r w:rsidRPr="00086CF4">
        <w:rPr>
          <w:rFonts w:eastAsiaTheme="minorHAnsi"/>
        </w:rPr>
        <w:t>2.166.818,52</w:t>
      </w:r>
      <w:r>
        <w:rPr>
          <w:rFonts w:eastAsiaTheme="minorHAnsi"/>
        </w:rPr>
        <w:t xml:space="preserve"> EUR. Ostvarenje istih prema ekonomskoj klasifikaciji na razini </w:t>
      </w:r>
      <w:r w:rsidRPr="005A452F">
        <w:rPr>
          <w:rFonts w:eastAsiaTheme="minorHAnsi"/>
        </w:rPr>
        <w:t>skupine u okviru: rashoda za zaposlene iznosi 496.534,04 EUR, materijalnih rashoda iznosi 1.604.433,10 EUR, te rashoda za nabavu proizvedene dugotrajne imovine iznosi 65.851,38 EUR.</w:t>
      </w:r>
    </w:p>
    <w:p w14:paraId="5DF4F94C" w14:textId="77777777" w:rsidR="00B760A7" w:rsidRDefault="00B760A7" w:rsidP="00B760A7">
      <w:pPr>
        <w:pStyle w:val="ListParagraph"/>
        <w:spacing w:before="0" w:after="0" w:line="240" w:lineRule="auto"/>
        <w:rPr>
          <w:rFonts w:eastAsiaTheme="minorHAnsi"/>
        </w:rPr>
      </w:pPr>
    </w:p>
    <w:p w14:paraId="1A0CCAE1" w14:textId="77777777" w:rsidR="00B760A7" w:rsidRDefault="00B760A7" w:rsidP="00B760A7">
      <w:pPr>
        <w:pStyle w:val="ListParagraph"/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>Grafički prikaz strukture izvršenja najznačajnijih rashoda ove aktivnosti daje se u nastavku:</w:t>
      </w:r>
    </w:p>
    <w:p w14:paraId="77CFCD49" w14:textId="77777777" w:rsidR="00B760A7" w:rsidRDefault="00B760A7" w:rsidP="00B760A7">
      <w:pPr>
        <w:pStyle w:val="ListParagraph"/>
        <w:spacing w:before="0" w:after="0" w:line="240" w:lineRule="auto"/>
        <w:rPr>
          <w:rFonts w:eastAsiaTheme="minorHAnsi"/>
        </w:rPr>
      </w:pPr>
      <w:r>
        <w:rPr>
          <w:noProof/>
          <w:lang w:eastAsia="hr-HR"/>
        </w:rPr>
        <w:drawing>
          <wp:inline distT="0" distB="0" distL="0" distR="0" wp14:anchorId="688003BE" wp14:editId="121C8EA8">
            <wp:extent cx="5810250" cy="3552825"/>
            <wp:effectExtent l="0" t="0" r="0" b="9525"/>
            <wp:docPr id="1769987373" name="Chart 1769987373">
              <a:extLst xmlns:a="http://schemas.openxmlformats.org/drawingml/2006/main">
                <a:ext uri="{FF2B5EF4-FFF2-40B4-BE49-F238E27FC236}">
                  <a16:creationId xmlns:a16="http://schemas.microsoft.com/office/drawing/2014/main" id="{9630567F-4391-49EF-4047-AB06D8B8AD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A036885" w14:textId="77777777" w:rsidR="00B760A7" w:rsidRPr="008C7318" w:rsidRDefault="00B760A7" w:rsidP="00B76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6FCDB205" w14:textId="77777777" w:rsidR="00B760A7" w:rsidRDefault="00B760A7" w:rsidP="00B760A7">
      <w:pPr>
        <w:pStyle w:val="ListParagraph"/>
        <w:spacing w:before="0" w:after="0" w:line="240" w:lineRule="auto"/>
      </w:pPr>
      <w:r w:rsidRPr="00E17923">
        <w:t xml:space="preserve">Rashodi poslovanja planirani su u iznosu od </w:t>
      </w:r>
      <w:r w:rsidRPr="003C506D">
        <w:t>8.841.563,00</w:t>
      </w:r>
      <w:r>
        <w:t xml:space="preserve"> EUR </w:t>
      </w:r>
      <w:r w:rsidRPr="00E17923">
        <w:t xml:space="preserve">a izvršeni u iznosu od </w:t>
      </w:r>
      <w:r w:rsidRPr="003C506D">
        <w:t>2.100.967,14</w:t>
      </w:r>
      <w:r>
        <w:t xml:space="preserve"> EUR </w:t>
      </w:r>
      <w:r w:rsidRPr="00EA32E7">
        <w:t>odnosno</w:t>
      </w:r>
      <w:r>
        <w:t xml:space="preserve"> sa </w:t>
      </w:r>
      <w:r w:rsidRPr="003C506D">
        <w:t>23,76</w:t>
      </w:r>
      <w:r>
        <w:t xml:space="preserve"> % planiranih sredstava. </w:t>
      </w:r>
    </w:p>
    <w:p w14:paraId="413365D3" w14:textId="77777777" w:rsidR="00B760A7" w:rsidRDefault="00B760A7" w:rsidP="00B760A7">
      <w:pPr>
        <w:pStyle w:val="ListParagraph"/>
        <w:spacing w:before="0" w:after="0" w:line="240" w:lineRule="auto"/>
      </w:pPr>
    </w:p>
    <w:p w14:paraId="6BD61ACE" w14:textId="77777777" w:rsidR="00B760A7" w:rsidRDefault="00B760A7" w:rsidP="00B760A7">
      <w:pPr>
        <w:pStyle w:val="ListParagraph"/>
        <w:spacing w:before="0" w:after="0" w:line="240" w:lineRule="auto"/>
      </w:pPr>
      <w:r w:rsidRPr="00EF657E">
        <w:rPr>
          <w:u w:val="single"/>
        </w:rPr>
        <w:t>Rashodi za zaposlene</w:t>
      </w:r>
      <w:r w:rsidRPr="00EA32E7">
        <w:t xml:space="preserve"> </w:t>
      </w:r>
      <w:r w:rsidRPr="004D542B">
        <w:t xml:space="preserve">osim plaća </w:t>
      </w:r>
      <w:r>
        <w:t xml:space="preserve">zaposlenika </w:t>
      </w:r>
      <w:r w:rsidRPr="004D542B">
        <w:t>uključ</w:t>
      </w:r>
      <w:r>
        <w:t>uju i troškove</w:t>
      </w:r>
      <w:r w:rsidRPr="004D542B">
        <w:t xml:space="preserve"> darova i nagrada</w:t>
      </w:r>
      <w:r>
        <w:t xml:space="preserve"> te su</w:t>
      </w:r>
      <w:r w:rsidRPr="004D542B">
        <w:t xml:space="preserve"> </w:t>
      </w:r>
      <w:r>
        <w:t xml:space="preserve">ostvareni </w:t>
      </w:r>
      <w:r w:rsidRPr="00EA32E7">
        <w:t xml:space="preserve">u iznosu od </w:t>
      </w:r>
      <w:r w:rsidRPr="00773F01">
        <w:t>496.534,04</w:t>
      </w:r>
      <w:r>
        <w:t xml:space="preserve"> EUR</w:t>
      </w:r>
      <w:r w:rsidRPr="00EA32E7">
        <w:t xml:space="preserve"> odnosno </w:t>
      </w:r>
      <w:r>
        <w:t xml:space="preserve">29,99 </w:t>
      </w:r>
      <w:r w:rsidRPr="00EA32E7">
        <w:t>% plana</w:t>
      </w:r>
      <w:r>
        <w:t>.</w:t>
      </w:r>
      <w:r w:rsidRPr="00EA32E7">
        <w:t xml:space="preserve"> </w:t>
      </w:r>
      <w:r>
        <w:t xml:space="preserve">Institut na dan 31.06.2023. </w:t>
      </w:r>
      <w:r w:rsidRPr="00EA32E7">
        <w:t xml:space="preserve">ima </w:t>
      </w:r>
      <w:r w:rsidRPr="00A948E4">
        <w:t>38 z</w:t>
      </w:r>
      <w:r w:rsidRPr="00EA32E7">
        <w:t>aposleni</w:t>
      </w:r>
      <w:r>
        <w:t>h</w:t>
      </w:r>
      <w:r w:rsidRPr="00EA32E7">
        <w:t>.</w:t>
      </w:r>
      <w:r>
        <w:t xml:space="preserve"> Dana 14.06.2023. Institut je raspisao Javni natječaj za imenovanje ravnatelja Instituta za vode »Josip Juraj Strossmayer«  (NN 64/23). Slijedom navedenog, očekuje se novo zapošljavanje tijekom 2023. godine.</w:t>
      </w:r>
    </w:p>
    <w:p w14:paraId="0FCF31CC" w14:textId="77777777" w:rsidR="00B760A7" w:rsidRPr="00EA32E7" w:rsidRDefault="00B760A7" w:rsidP="00B760A7">
      <w:pPr>
        <w:pStyle w:val="ListParagraph"/>
        <w:spacing w:before="0" w:after="0" w:line="240" w:lineRule="auto"/>
      </w:pPr>
    </w:p>
    <w:p w14:paraId="1AB61463" w14:textId="77777777" w:rsidR="00B760A7" w:rsidRDefault="00B760A7" w:rsidP="00B760A7">
      <w:pPr>
        <w:pStyle w:val="ListParagraph"/>
        <w:spacing w:before="0" w:after="0" w:line="240" w:lineRule="auto"/>
      </w:pPr>
      <w:r w:rsidRPr="00EF657E">
        <w:rPr>
          <w:u w:val="single"/>
        </w:rPr>
        <w:t>Materijalni rashodi</w:t>
      </w:r>
      <w:r w:rsidRPr="00EA32E7">
        <w:t xml:space="preserve"> ostvareni su sa </w:t>
      </w:r>
      <w:r>
        <w:t xml:space="preserve">22,33 </w:t>
      </w:r>
      <w:r w:rsidRPr="00EA32E7">
        <w:t xml:space="preserve">% plana odnosno u iznosu od </w:t>
      </w:r>
      <w:r w:rsidRPr="00557DAB">
        <w:t>1.604.433,10</w:t>
      </w:r>
      <w:r>
        <w:t xml:space="preserve"> EUR, od čega su značajni</w:t>
      </w:r>
      <w:r w:rsidRPr="00D943CF">
        <w:t xml:space="preserve"> </w:t>
      </w:r>
      <w:r>
        <w:t>r</w:t>
      </w:r>
      <w:r w:rsidRPr="00EA32E7">
        <w:t xml:space="preserve">ashodi za materijal i energiju </w:t>
      </w:r>
      <w:r>
        <w:t xml:space="preserve">koji su izvršeni </w:t>
      </w:r>
      <w:r w:rsidRPr="00EA32E7">
        <w:t xml:space="preserve">u iznosu od </w:t>
      </w:r>
      <w:r w:rsidRPr="00557DAB">
        <w:t>142.387,96</w:t>
      </w:r>
      <w:r>
        <w:t xml:space="preserve"> EUR </w:t>
      </w:r>
      <w:r w:rsidRPr="00EA32E7">
        <w:t xml:space="preserve">odnosno sa postotnim indeksom od </w:t>
      </w:r>
      <w:r>
        <w:t>26,46 planiranih</w:t>
      </w:r>
      <w:r w:rsidRPr="00EA32E7">
        <w:t xml:space="preserve"> </w:t>
      </w:r>
      <w:r>
        <w:t>sredstava</w:t>
      </w:r>
      <w:r w:rsidRPr="00EA32E7">
        <w:t xml:space="preserve">. </w:t>
      </w:r>
    </w:p>
    <w:p w14:paraId="5638D30F" w14:textId="77777777" w:rsidR="00B760A7" w:rsidRDefault="00B760A7" w:rsidP="00B760A7">
      <w:pPr>
        <w:pStyle w:val="ListParagraph"/>
        <w:spacing w:before="0" w:after="0" w:line="240" w:lineRule="auto"/>
      </w:pPr>
    </w:p>
    <w:p w14:paraId="5D05D006" w14:textId="77777777" w:rsidR="00B760A7" w:rsidRDefault="00B760A7" w:rsidP="00B760A7">
      <w:pPr>
        <w:pStyle w:val="ListParagraph"/>
        <w:spacing w:before="0" w:after="0" w:line="240" w:lineRule="auto"/>
      </w:pPr>
      <w:r w:rsidRPr="00EA32E7">
        <w:t xml:space="preserve">U navedenim troškovima najveći udio </w:t>
      </w:r>
      <w:r>
        <w:t xml:space="preserve">44 % odnosi se na rashode za </w:t>
      </w:r>
      <w:r w:rsidRPr="006F4455">
        <w:t>energij</w:t>
      </w:r>
      <w:r>
        <w:t xml:space="preserve">u </w:t>
      </w:r>
      <w:r w:rsidRPr="006F4455">
        <w:t>koj</w:t>
      </w:r>
      <w:r>
        <w:t>i su</w:t>
      </w:r>
      <w:r w:rsidRPr="006F4455">
        <w:t xml:space="preserve"> ostvaren</w:t>
      </w:r>
      <w:r>
        <w:t>i</w:t>
      </w:r>
      <w:r w:rsidRPr="006F4455">
        <w:t xml:space="preserve"> u iznosu od 63.282,82 </w:t>
      </w:r>
      <w:r>
        <w:t>EUR za</w:t>
      </w:r>
      <w:r w:rsidRPr="006F4455">
        <w:t xml:space="preserve"> </w:t>
      </w:r>
      <w:r>
        <w:t xml:space="preserve">potrebe </w:t>
      </w:r>
      <w:r w:rsidRPr="006F4455">
        <w:t>opskrb</w:t>
      </w:r>
      <w:r>
        <w:t>e</w:t>
      </w:r>
      <w:r w:rsidRPr="006F4455">
        <w:t xml:space="preserve"> plinom, punjenje spremnika ukapljenim naftnim plinom i dizelsko gorivo za agregat</w:t>
      </w:r>
      <w:r>
        <w:t xml:space="preserve"> </w:t>
      </w:r>
      <w:r w:rsidRPr="00A905FE">
        <w:t>te pogonsko gorivo za terenska vozila</w:t>
      </w:r>
      <w:r>
        <w:t>.</w:t>
      </w:r>
    </w:p>
    <w:p w14:paraId="430A4D65" w14:textId="77777777" w:rsidR="00B760A7" w:rsidRDefault="00B760A7" w:rsidP="00B760A7">
      <w:pPr>
        <w:pStyle w:val="ListParagraph"/>
        <w:spacing w:before="0" w:after="0" w:line="240" w:lineRule="auto"/>
      </w:pPr>
    </w:p>
    <w:p w14:paraId="7D480603" w14:textId="77777777" w:rsidR="00B760A7" w:rsidRDefault="00B760A7" w:rsidP="00B760A7">
      <w:pPr>
        <w:pStyle w:val="ListParagraph"/>
        <w:spacing w:before="0" w:after="0" w:line="240" w:lineRule="auto"/>
      </w:pPr>
      <w:r>
        <w:lastRenderedPageBreak/>
        <w:t>T</w:t>
      </w:r>
      <w:r w:rsidRPr="006F4455">
        <w:t>roškovi materijala i sirovina za rad koji su utrošeni u iznosu od 51.328,40</w:t>
      </w:r>
      <w:r>
        <w:t xml:space="preserve"> EUR i čine 36 % rashoda za materijal i energiju, obuhvaćaju troškove </w:t>
      </w:r>
      <w:r w:rsidRPr="006F4455">
        <w:t>za redoviti laboratorijski rad Glavnog laboratorija za vode (nabavljene su anorganske i organske kemikalije, standardi za plinsku i tekućinsku kromatografiju, otapala kromatografske čistoće, certificirani referentni standardi, tehnički plinovi)</w:t>
      </w:r>
      <w:r>
        <w:t>.</w:t>
      </w:r>
    </w:p>
    <w:p w14:paraId="4F1B97A0" w14:textId="77777777" w:rsidR="00B760A7" w:rsidRDefault="00B760A7" w:rsidP="00B760A7">
      <w:pPr>
        <w:pStyle w:val="ListParagraph"/>
        <w:spacing w:before="0" w:after="0" w:line="240" w:lineRule="auto"/>
      </w:pPr>
    </w:p>
    <w:p w14:paraId="7094BCC0" w14:textId="77777777" w:rsidR="00B760A7" w:rsidRDefault="00B760A7" w:rsidP="00B760A7">
      <w:pPr>
        <w:pStyle w:val="ListParagraph"/>
        <w:spacing w:before="0" w:after="0" w:line="240" w:lineRule="auto"/>
      </w:pPr>
      <w:r>
        <w:t>O</w:t>
      </w:r>
      <w:r w:rsidRPr="006F4455">
        <w:t>stali troškovi vezani za poslovanje</w:t>
      </w:r>
      <w:r>
        <w:t xml:space="preserve"> Instituta</w:t>
      </w:r>
      <w:r w:rsidRPr="006F4455">
        <w:t xml:space="preserve"> </w:t>
      </w:r>
      <w:r>
        <w:t xml:space="preserve">iskazani u okviru </w:t>
      </w:r>
      <w:r w:rsidRPr="000D0A15">
        <w:t xml:space="preserve">rashoda za materijal i energiju </w:t>
      </w:r>
      <w:r w:rsidRPr="006F4455">
        <w:t>u ukupnom iznosu od 27.776,74</w:t>
      </w:r>
      <w:r>
        <w:t xml:space="preserve"> EUR čine 20 % .</w:t>
      </w:r>
    </w:p>
    <w:p w14:paraId="1519F39C" w14:textId="77777777" w:rsidR="00B760A7" w:rsidRDefault="00B760A7" w:rsidP="00B760A7">
      <w:pPr>
        <w:pStyle w:val="ListParagraph"/>
        <w:spacing w:before="0" w:after="0" w:line="240" w:lineRule="auto"/>
      </w:pPr>
    </w:p>
    <w:p w14:paraId="1FA363D7" w14:textId="77777777" w:rsidR="00B760A7" w:rsidRPr="00EA32E7" w:rsidRDefault="00B760A7" w:rsidP="00B760A7">
      <w:pPr>
        <w:pStyle w:val="ListParagraph"/>
        <w:spacing w:before="0" w:after="0" w:line="240" w:lineRule="auto"/>
        <w:rPr>
          <w:noProof/>
          <w:lang w:eastAsia="hr-HR"/>
        </w:rPr>
      </w:pPr>
      <w:r>
        <w:rPr>
          <w:rFonts w:cs="Times New Roman"/>
          <w:szCs w:val="24"/>
        </w:rPr>
        <w:t>Grafički prikaz strukture rashoda za materijal i energiju daje se u nastavku:</w:t>
      </w:r>
    </w:p>
    <w:p w14:paraId="5A3A0379" w14:textId="77777777" w:rsidR="00B760A7" w:rsidRDefault="00B760A7" w:rsidP="00B76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C997575" wp14:editId="563BECB5">
            <wp:extent cx="5734050" cy="3105150"/>
            <wp:effectExtent l="0" t="0" r="0" b="0"/>
            <wp:docPr id="1262305273" name="Chart 1262305273">
              <a:extLst xmlns:a="http://schemas.openxmlformats.org/drawingml/2006/main">
                <a:ext uri="{FF2B5EF4-FFF2-40B4-BE49-F238E27FC236}">
                  <a16:creationId xmlns:a16="http://schemas.microsoft.com/office/drawing/2014/main" id="{D06B34F9-CE9E-56B6-7B31-ADE32A2B6D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A42706" w14:textId="77777777" w:rsidR="00B760A7" w:rsidRPr="006757E1" w:rsidRDefault="00B760A7" w:rsidP="00B760A7">
      <w:pPr>
        <w:pStyle w:val="ListParagraph"/>
        <w:spacing w:before="0" w:after="0" w:line="240" w:lineRule="auto"/>
      </w:pPr>
    </w:p>
    <w:p w14:paraId="7A7A0ADC" w14:textId="77777777" w:rsidR="00B760A7" w:rsidRDefault="00B760A7" w:rsidP="00B760A7">
      <w:pPr>
        <w:pStyle w:val="ListParagraph"/>
        <w:spacing w:before="0" w:after="0" w:line="240" w:lineRule="auto"/>
      </w:pPr>
      <w:r w:rsidRPr="004D7E49">
        <w:t xml:space="preserve">Rashodi za usluge čine 66,34 % rashoda poslovanja i ostvareni su u iznosu od 1.393.824,65 EUR odnosno 22,23 % planiranih sredstava. </w:t>
      </w:r>
    </w:p>
    <w:p w14:paraId="36FF9987" w14:textId="77777777" w:rsidR="00B760A7" w:rsidRPr="004D7E49" w:rsidRDefault="00B760A7" w:rsidP="00B760A7">
      <w:pPr>
        <w:pStyle w:val="ListParagraph"/>
        <w:spacing w:before="0" w:after="0" w:line="240" w:lineRule="auto"/>
      </w:pPr>
    </w:p>
    <w:p w14:paraId="06B19069" w14:textId="77777777" w:rsidR="00B760A7" w:rsidRDefault="00B760A7" w:rsidP="00B760A7">
      <w:pPr>
        <w:pStyle w:val="ListParagraph"/>
        <w:spacing w:before="0" w:after="0" w:line="240" w:lineRule="auto"/>
      </w:pPr>
      <w:r w:rsidRPr="004D7E49">
        <w:t xml:space="preserve">U okviru rashoda za usluge od materijalno značajnih stavki evidentirani su i rashodi tekućeg i investicijskog održavanja u iznosu 117.081,98 EUR za potrebe održavanja različite laboratorijske analitičke opreme, uređaja za pripremu uzoraka, laboratorijskih perilica, uređaja za pripremu čiste i super čiste vode, umjeravanje elektroda, vaga, utega i termometara, održavanje sustava plinske stanice čistih plinova plinske stanice za proizvodnju dušika i sintetskog zraka, održavanje laboratorijskog informacijskog sustava koje uključuje integraciju instrumenata, prijenos i prijepis rezultata te dodatne funkcionalnosti,  servis, tehnički pregled  i popravak terenskih vozila, nabava guma za terenska vozila, pranje terenskih vozila, podmirenja troškova održavanja zgrada, sustava tehničke zaštite, strojarske opreme, neutralizacijske jame,  agregata, plinskih instalacija, dimnjaka i okoliša </w:t>
      </w:r>
      <w:r>
        <w:t xml:space="preserve">Glavnog </w:t>
      </w:r>
      <w:r w:rsidRPr="004D7E49">
        <w:t>laboratorija</w:t>
      </w:r>
      <w:r>
        <w:t xml:space="preserve"> za vode, službe</w:t>
      </w:r>
      <w:r w:rsidRPr="004D7E49">
        <w:t xml:space="preserve"> u Zagrebu i </w:t>
      </w:r>
      <w:r>
        <w:t xml:space="preserve">službe u </w:t>
      </w:r>
      <w:r w:rsidRPr="004D7E49">
        <w:t>Šibeniku.</w:t>
      </w:r>
    </w:p>
    <w:p w14:paraId="64FDC0BE" w14:textId="77777777" w:rsidR="00B760A7" w:rsidRPr="004D7E49" w:rsidRDefault="00B760A7" w:rsidP="00B760A7">
      <w:pPr>
        <w:pStyle w:val="ListParagraph"/>
        <w:spacing w:before="0" w:after="0" w:line="240" w:lineRule="auto"/>
      </w:pPr>
    </w:p>
    <w:p w14:paraId="75D8267E" w14:textId="77777777" w:rsidR="00B760A7" w:rsidRDefault="00B760A7" w:rsidP="00B760A7">
      <w:pPr>
        <w:pStyle w:val="ListParagraph"/>
        <w:spacing w:before="0" w:after="0" w:line="240" w:lineRule="auto"/>
      </w:pPr>
      <w:r w:rsidRPr="004D7E49">
        <w:t xml:space="preserve">Institut provodi dio monitoringa iz Zakona o vodama tako da poslove praćenja stanja voda-monitoring (praćenje kakvoće kopnenih površinskih voda, podzemnih voda te prijelaznih i priobalnih voda) temeljem zahtjeva EU direktiva (Okvirna direktiva o vodama te ostale vodne direktive), provodi djelom kroz aktivnost Glavnog  laboratorija za vode te kroz ugovore sa vanjskim ovlaštenim laboratorijima i znanstvenim institucijama. Upravo potraživanja suradničkih laboratorija i znanstvenih institucija predstavljaju najveći dio troška materijalnih </w:t>
      </w:r>
      <w:r w:rsidRPr="004D7E49">
        <w:lastRenderedPageBreak/>
        <w:t>rashoda koji su evidentirani na Ostalim uslugama i ostvareni u iznosu od 1.182.631,48 EUR odnosno 22,01% planiranih sredstava.</w:t>
      </w:r>
    </w:p>
    <w:p w14:paraId="00499814" w14:textId="77777777" w:rsidR="00B760A7" w:rsidRPr="004D7E49" w:rsidRDefault="00B760A7" w:rsidP="00B760A7">
      <w:pPr>
        <w:pStyle w:val="ListParagraph"/>
        <w:spacing w:before="0" w:after="0" w:line="240" w:lineRule="auto"/>
      </w:pPr>
    </w:p>
    <w:p w14:paraId="225BE4C0" w14:textId="77777777" w:rsidR="00B760A7" w:rsidRPr="004D7E49" w:rsidRDefault="00B760A7" w:rsidP="00B760A7">
      <w:pPr>
        <w:pStyle w:val="ListParagraph"/>
        <w:spacing w:before="0" w:after="0" w:line="240" w:lineRule="auto"/>
      </w:pPr>
      <w:r w:rsidRPr="004D7E49">
        <w:t>Temeljem prethodno spomenutih ugovora sa suradničkim i znanstvenim institucijama koji pokrivaju cijelo područje Republike Hrvatske provedena su uzorkovanja površinskih, podzemnih te prijelaznih i priobalnih voda te prateće analize uzoraka voda na fizikalno-kemijske, kemijske i mikrobiološke pokazatelje; uzorkovanja, izolacije i determinacije bioloških elemenata kakvoće (makrozoobentos, fitobentos, makrofita, i ribe) te analize identifikacije opasnih tvari u uzorcima sedimenata i biote na trend postajama površinskih kopnenih voda.</w:t>
      </w:r>
    </w:p>
    <w:p w14:paraId="3A63570B" w14:textId="77777777" w:rsidR="00B760A7" w:rsidRPr="004D7E49" w:rsidRDefault="00B760A7" w:rsidP="00B760A7">
      <w:pPr>
        <w:pStyle w:val="ListParagraph"/>
        <w:spacing w:before="0" w:after="0" w:line="240" w:lineRule="auto"/>
      </w:pPr>
    </w:p>
    <w:p w14:paraId="100F1931" w14:textId="77777777" w:rsidR="00B760A7" w:rsidRPr="004D7E49" w:rsidRDefault="00B760A7" w:rsidP="00B760A7">
      <w:pPr>
        <w:pStyle w:val="ListParagraph"/>
        <w:spacing w:before="0" w:after="0" w:line="240" w:lineRule="auto"/>
      </w:pPr>
      <w:r w:rsidRPr="004D7E49">
        <w:t xml:space="preserve">Sredstva su utrošena i za potrebe međulaboratorijskih poredbenih ispitivanja. </w:t>
      </w:r>
    </w:p>
    <w:p w14:paraId="2E461843" w14:textId="77777777" w:rsidR="00B760A7" w:rsidRPr="004D7E49" w:rsidRDefault="00B760A7" w:rsidP="00B760A7">
      <w:pPr>
        <w:pStyle w:val="ListParagraph"/>
        <w:spacing w:before="0" w:after="0" w:line="240" w:lineRule="auto"/>
      </w:pPr>
    </w:p>
    <w:p w14:paraId="521D834D" w14:textId="77777777" w:rsidR="00B760A7" w:rsidRPr="004D7E49" w:rsidRDefault="00B760A7" w:rsidP="00B760A7">
      <w:pPr>
        <w:pStyle w:val="ListParagraph"/>
        <w:spacing w:before="0" w:after="0" w:line="240" w:lineRule="auto"/>
      </w:pPr>
      <w:r w:rsidRPr="004D7E49">
        <w:rPr>
          <w:u w:val="single"/>
        </w:rPr>
        <w:t>Rashodi za nabavu nefinancijske imovine</w:t>
      </w:r>
      <w:r w:rsidRPr="004D7E49">
        <w:t xml:space="preserve"> izvršeni su u iznosu od 65.851,38 EUR odnosno 17,96 % plana za 2023. godinu. </w:t>
      </w:r>
    </w:p>
    <w:p w14:paraId="51430D51" w14:textId="77777777" w:rsidR="00B760A7" w:rsidRDefault="00B760A7" w:rsidP="00B760A7">
      <w:pPr>
        <w:pStyle w:val="ListParagraph"/>
        <w:spacing w:before="0" w:after="0" w:line="240" w:lineRule="auto"/>
      </w:pPr>
    </w:p>
    <w:p w14:paraId="1462CF4B" w14:textId="77777777" w:rsidR="00B760A7" w:rsidRDefault="00B760A7" w:rsidP="00B760A7">
      <w:pPr>
        <w:pStyle w:val="ListParagraph"/>
        <w:spacing w:before="0" w:after="0" w:line="240" w:lineRule="auto"/>
      </w:pPr>
      <w:r w:rsidRPr="004D7E49">
        <w:t xml:space="preserve">Početkom 2023. Ured ravnatelja i Sektor općih poslova </w:t>
      </w:r>
      <w:r>
        <w:t xml:space="preserve">izmješteni su na novu </w:t>
      </w:r>
      <w:r w:rsidRPr="004D7E49">
        <w:t xml:space="preserve"> adresu uredovanja iz Vukovarske 220, Zagreb, na Šubićevu 29, Zagreb. Kako bi se osigurali osnovni uvjeti za rad Instituta nabavljena su računala i računalna oprema te uredski namještaj u ukupnom iznosu od 59.971,70 EUR. Za nabavu </w:t>
      </w:r>
      <w:proofErr w:type="spellStart"/>
      <w:r w:rsidRPr="004D7E49">
        <w:t>spektofotometra</w:t>
      </w:r>
      <w:proofErr w:type="spellEnd"/>
      <w:r w:rsidRPr="004D7E49">
        <w:t xml:space="preserve"> s prethodno programiranim metodama za određivanje cijanida, </w:t>
      </w:r>
      <w:proofErr w:type="spellStart"/>
      <w:r w:rsidRPr="004D7E49">
        <w:t>sulfita</w:t>
      </w:r>
      <w:proofErr w:type="spellEnd"/>
      <w:r w:rsidRPr="004D7E49">
        <w:t xml:space="preserve"> i dr. u iznosu od 5.832,50 EUR, te ostalu uredsku opremu.</w:t>
      </w:r>
    </w:p>
    <w:p w14:paraId="2DB7352E" w14:textId="77777777" w:rsidR="00B760A7" w:rsidRDefault="00B760A7" w:rsidP="00B760A7">
      <w:pPr>
        <w:pStyle w:val="ListParagraph"/>
        <w:spacing w:before="0" w:after="0" w:line="240" w:lineRule="auto"/>
      </w:pPr>
    </w:p>
    <w:p w14:paraId="18989F97" w14:textId="77777777" w:rsidR="00F91590" w:rsidRDefault="00F91590" w:rsidP="00D2750F">
      <w:pPr>
        <w:pStyle w:val="ListParagraph"/>
        <w:spacing w:before="0" w:after="0" w:line="240" w:lineRule="auto"/>
      </w:pPr>
    </w:p>
    <w:p w14:paraId="322F12C3" w14:textId="77777777" w:rsidR="0063636C" w:rsidRDefault="002801C6" w:rsidP="00D2750F">
      <w:pPr>
        <w:pStyle w:val="NASLOV"/>
        <w:spacing w:line="240" w:lineRule="auto"/>
      </w:pPr>
      <w:r w:rsidRPr="00EA32E7">
        <w:t>PRIMICI</w:t>
      </w:r>
      <w:bookmarkEnd w:id="2"/>
      <w:r w:rsidR="00F91590" w:rsidRPr="00F91590">
        <w:t xml:space="preserve"> I IZDACI</w:t>
      </w:r>
    </w:p>
    <w:p w14:paraId="52EF9170" w14:textId="77777777" w:rsidR="0041322E" w:rsidRDefault="0041322E" w:rsidP="00D2750F">
      <w:pPr>
        <w:pStyle w:val="ListParagraph"/>
        <w:spacing w:before="0" w:after="0" w:line="240" w:lineRule="auto"/>
      </w:pPr>
    </w:p>
    <w:p w14:paraId="4BAB6448" w14:textId="0AE65327" w:rsidR="00F91590" w:rsidRPr="00EA32E7" w:rsidRDefault="00F91590" w:rsidP="00D2750F">
      <w:pPr>
        <w:pStyle w:val="ListParagraph"/>
        <w:spacing w:before="0" w:after="0" w:line="240" w:lineRule="auto"/>
      </w:pPr>
      <w:r w:rsidRPr="00EA32E7">
        <w:t xml:space="preserve">Institut u </w:t>
      </w:r>
      <w:r>
        <w:t>202</w:t>
      </w:r>
      <w:r w:rsidR="00086CF4">
        <w:t>3</w:t>
      </w:r>
      <w:r>
        <w:t>. godini nije planirao/</w:t>
      </w:r>
      <w:r w:rsidRPr="00EA32E7">
        <w:t>ostvario primitke od financijske imovine i zaduživanja</w:t>
      </w:r>
      <w:r>
        <w:t xml:space="preserve"> kao ni </w:t>
      </w:r>
      <w:r w:rsidRPr="00F91590">
        <w:t>izdatke za financijsku imovinu i otplate zajmova tako da obrazloženje Računa financiranja nije primjenjivo.</w:t>
      </w:r>
    </w:p>
    <w:p w14:paraId="0932FBE5" w14:textId="77777777" w:rsidR="001A6472" w:rsidRDefault="001A6472" w:rsidP="00D275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F63C96" w14:textId="77777777" w:rsidR="001A6472" w:rsidRPr="000024B9" w:rsidRDefault="00A85FED" w:rsidP="00D2750F">
      <w:pPr>
        <w:pStyle w:val="NASLOV"/>
        <w:spacing w:line="240" w:lineRule="auto"/>
      </w:pPr>
      <w:r w:rsidRPr="000024B9">
        <w:t>PRIJENOS</w:t>
      </w:r>
      <w:r w:rsidR="001A6472" w:rsidRPr="000024B9">
        <w:t xml:space="preserve"> SREDSTAVA IZ PRETHODNE GODINE</w:t>
      </w:r>
    </w:p>
    <w:p w14:paraId="187F0968" w14:textId="77777777" w:rsidR="0041322E" w:rsidRDefault="0041322E" w:rsidP="00D2750F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14:paraId="5C98961F" w14:textId="77777777" w:rsidR="00086CF4" w:rsidRPr="00086CF4" w:rsidRDefault="00086CF4" w:rsidP="00D2750F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86CF4">
        <w:rPr>
          <w:rFonts w:ascii="Times New Roman" w:eastAsiaTheme="minorHAnsi" w:hAnsi="Times New Roman"/>
          <w:sz w:val="24"/>
        </w:rPr>
        <w:t>Sukladno Zakonu o proračunu i Zakonu o izvršavanju državnog proračuna namjenski prihodi i primici te vlastiti prihodi koji nisu iskorišteni u prethodnoj proračunskoj godini prenose se u proračun tekuće godine na zahtjev proračunskog korisnika.</w:t>
      </w:r>
    </w:p>
    <w:p w14:paraId="64C41E11" w14:textId="77777777" w:rsidR="0041322E" w:rsidRDefault="0041322E" w:rsidP="00D2750F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14:paraId="52C26737" w14:textId="77777777" w:rsidR="00086CF4" w:rsidRPr="00086CF4" w:rsidRDefault="00086CF4" w:rsidP="00D2750F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86CF4">
        <w:rPr>
          <w:rFonts w:ascii="Times New Roman" w:eastAsiaTheme="minorHAnsi" w:hAnsi="Times New Roman"/>
          <w:sz w:val="24"/>
        </w:rPr>
        <w:t>Temeljem članka 14. Zakona o izvršavanju Državnog proračuna Republike Hrvatske za 2023. (NN 145/22), proračunski korisnici dužni su Zahtjev za prijenos neutrošenih prihoda dostaviti Ministarstvu financija kako bi neutrošeni prihodi bili raspoloživi za korištenje.</w:t>
      </w:r>
    </w:p>
    <w:p w14:paraId="06FE782F" w14:textId="77777777" w:rsidR="0041322E" w:rsidRDefault="0041322E" w:rsidP="00D2750F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14:paraId="6B555653" w14:textId="72B4F36E" w:rsidR="0063636C" w:rsidRDefault="00086CF4" w:rsidP="00D2750F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86CF4">
        <w:rPr>
          <w:rFonts w:ascii="Times New Roman" w:eastAsiaTheme="minorHAnsi" w:hAnsi="Times New Roman"/>
          <w:sz w:val="24"/>
        </w:rPr>
        <w:t xml:space="preserve">Slijedom navedenog, neutrošeni prihodi Instituta za vode iz 2022. u iznosu od 318.432 EUR </w:t>
      </w:r>
      <w:r w:rsidR="0041322E" w:rsidRPr="00086CF4">
        <w:rPr>
          <w:rFonts w:ascii="Times New Roman" w:eastAsiaTheme="minorHAnsi" w:hAnsi="Times New Roman"/>
          <w:sz w:val="24"/>
        </w:rPr>
        <w:t>preneseni</w:t>
      </w:r>
      <w:r w:rsidRPr="00086CF4">
        <w:rPr>
          <w:rFonts w:ascii="Times New Roman" w:eastAsiaTheme="minorHAnsi" w:hAnsi="Times New Roman"/>
          <w:sz w:val="24"/>
        </w:rPr>
        <w:t xml:space="preserve"> su u 2023.</w:t>
      </w:r>
    </w:p>
    <w:p w14:paraId="43DD9148" w14:textId="77777777" w:rsidR="00A41DEC" w:rsidRPr="008C7318" w:rsidRDefault="00A41DEC" w:rsidP="00D275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1DA10D0D" w14:textId="38F150F5" w:rsidR="0063636C" w:rsidRPr="008C7318" w:rsidRDefault="0063636C" w:rsidP="00D2750F">
      <w:pPr>
        <w:pStyle w:val="ListParagraph"/>
        <w:spacing w:before="0" w:after="0" w:line="240" w:lineRule="auto"/>
        <w:rPr>
          <w:rFonts w:cs="Times New Roman"/>
          <w:b/>
          <w:lang w:eastAsia="hr-HR"/>
        </w:rPr>
      </w:pPr>
    </w:p>
    <w:sectPr w:rsidR="0063636C" w:rsidRPr="008C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A6"/>
    <w:multiLevelType w:val="hybridMultilevel"/>
    <w:tmpl w:val="83D272B8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3FC3"/>
    <w:multiLevelType w:val="hybridMultilevel"/>
    <w:tmpl w:val="ECAE5826"/>
    <w:lvl w:ilvl="0" w:tplc="7C2049D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65857"/>
    <w:multiLevelType w:val="hybridMultilevel"/>
    <w:tmpl w:val="A0E02B92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F5D7A"/>
    <w:multiLevelType w:val="hybridMultilevel"/>
    <w:tmpl w:val="AB3E00C0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AA"/>
    <w:rsid w:val="00000118"/>
    <w:rsid w:val="0000225D"/>
    <w:rsid w:val="000024B9"/>
    <w:rsid w:val="00010D07"/>
    <w:rsid w:val="00023D0A"/>
    <w:rsid w:val="0003591B"/>
    <w:rsid w:val="00052C29"/>
    <w:rsid w:val="00086CF4"/>
    <w:rsid w:val="00095A67"/>
    <w:rsid w:val="000A1B8F"/>
    <w:rsid w:val="000B1420"/>
    <w:rsid w:val="000D0A15"/>
    <w:rsid w:val="000D69E9"/>
    <w:rsid w:val="000E09BF"/>
    <w:rsid w:val="000F4F8B"/>
    <w:rsid w:val="00124BAA"/>
    <w:rsid w:val="00161971"/>
    <w:rsid w:val="00184F1B"/>
    <w:rsid w:val="001929CA"/>
    <w:rsid w:val="001A1A25"/>
    <w:rsid w:val="001A43FF"/>
    <w:rsid w:val="001A6472"/>
    <w:rsid w:val="001B6FA9"/>
    <w:rsid w:val="001E4C4D"/>
    <w:rsid w:val="00207434"/>
    <w:rsid w:val="00214D67"/>
    <w:rsid w:val="00234688"/>
    <w:rsid w:val="002801C6"/>
    <w:rsid w:val="002B465D"/>
    <w:rsid w:val="002D2B24"/>
    <w:rsid w:val="002D6B32"/>
    <w:rsid w:val="003208AD"/>
    <w:rsid w:val="00323439"/>
    <w:rsid w:val="0037537F"/>
    <w:rsid w:val="003B50C5"/>
    <w:rsid w:val="003B5925"/>
    <w:rsid w:val="003C506D"/>
    <w:rsid w:val="003F5BEC"/>
    <w:rsid w:val="004060D9"/>
    <w:rsid w:val="00406189"/>
    <w:rsid w:val="0041322E"/>
    <w:rsid w:val="00436C02"/>
    <w:rsid w:val="00452617"/>
    <w:rsid w:val="00482514"/>
    <w:rsid w:val="00493613"/>
    <w:rsid w:val="00494333"/>
    <w:rsid w:val="004A0C4C"/>
    <w:rsid w:val="004C6206"/>
    <w:rsid w:val="004D542B"/>
    <w:rsid w:val="004D7E49"/>
    <w:rsid w:val="004F6E24"/>
    <w:rsid w:val="00505B85"/>
    <w:rsid w:val="005103F9"/>
    <w:rsid w:val="005128CD"/>
    <w:rsid w:val="00557DAB"/>
    <w:rsid w:val="0056098E"/>
    <w:rsid w:val="00563B76"/>
    <w:rsid w:val="00574992"/>
    <w:rsid w:val="005765F8"/>
    <w:rsid w:val="00587A51"/>
    <w:rsid w:val="005A452F"/>
    <w:rsid w:val="005D488E"/>
    <w:rsid w:val="006001AD"/>
    <w:rsid w:val="0063636C"/>
    <w:rsid w:val="006757E1"/>
    <w:rsid w:val="006C5193"/>
    <w:rsid w:val="006E4E9A"/>
    <w:rsid w:val="006F4455"/>
    <w:rsid w:val="00773F01"/>
    <w:rsid w:val="007772A7"/>
    <w:rsid w:val="007A2131"/>
    <w:rsid w:val="007C0DE8"/>
    <w:rsid w:val="007E5933"/>
    <w:rsid w:val="007F27A8"/>
    <w:rsid w:val="008659A4"/>
    <w:rsid w:val="00866E78"/>
    <w:rsid w:val="008C7318"/>
    <w:rsid w:val="00963EFA"/>
    <w:rsid w:val="00977AFC"/>
    <w:rsid w:val="009B6E48"/>
    <w:rsid w:val="009F6A88"/>
    <w:rsid w:val="00A41DEC"/>
    <w:rsid w:val="00A85FED"/>
    <w:rsid w:val="00A905FE"/>
    <w:rsid w:val="00A927F6"/>
    <w:rsid w:val="00A93FBB"/>
    <w:rsid w:val="00A948E4"/>
    <w:rsid w:val="00AB0748"/>
    <w:rsid w:val="00B12E00"/>
    <w:rsid w:val="00B529BB"/>
    <w:rsid w:val="00B63C7F"/>
    <w:rsid w:val="00B700F5"/>
    <w:rsid w:val="00B760A7"/>
    <w:rsid w:val="00B820C9"/>
    <w:rsid w:val="00BB3E92"/>
    <w:rsid w:val="00BE1329"/>
    <w:rsid w:val="00BF4AF9"/>
    <w:rsid w:val="00BF624E"/>
    <w:rsid w:val="00C30E67"/>
    <w:rsid w:val="00C35C3E"/>
    <w:rsid w:val="00C53700"/>
    <w:rsid w:val="00C559B9"/>
    <w:rsid w:val="00C641B2"/>
    <w:rsid w:val="00C816B4"/>
    <w:rsid w:val="00CA4D00"/>
    <w:rsid w:val="00CA5F57"/>
    <w:rsid w:val="00CA61FF"/>
    <w:rsid w:val="00D2750F"/>
    <w:rsid w:val="00D65A08"/>
    <w:rsid w:val="00D70507"/>
    <w:rsid w:val="00D943CF"/>
    <w:rsid w:val="00DB03FD"/>
    <w:rsid w:val="00DE1A5D"/>
    <w:rsid w:val="00E17923"/>
    <w:rsid w:val="00E35161"/>
    <w:rsid w:val="00E6067E"/>
    <w:rsid w:val="00E6576C"/>
    <w:rsid w:val="00E917B8"/>
    <w:rsid w:val="00EA32E7"/>
    <w:rsid w:val="00EB0803"/>
    <w:rsid w:val="00ED03AB"/>
    <w:rsid w:val="00ED0C90"/>
    <w:rsid w:val="00EE225E"/>
    <w:rsid w:val="00EE34AD"/>
    <w:rsid w:val="00EF657E"/>
    <w:rsid w:val="00EF66B8"/>
    <w:rsid w:val="00F03B35"/>
    <w:rsid w:val="00F85F83"/>
    <w:rsid w:val="00F91590"/>
    <w:rsid w:val="00FA3839"/>
    <w:rsid w:val="00FA659C"/>
    <w:rsid w:val="00FD43E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CBEC"/>
  <w15:chartTrackingRefBased/>
  <w15:docId w15:val="{C4B73FA1-2FD3-4E99-A36A-51A378F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CA"/>
  </w:style>
  <w:style w:type="paragraph" w:styleId="Heading1">
    <w:name w:val="heading 1"/>
    <w:basedOn w:val="Normal"/>
    <w:next w:val="Normal"/>
    <w:link w:val="Heading1Char"/>
    <w:uiPriority w:val="9"/>
    <w:qFormat/>
    <w:rsid w:val="001929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9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9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9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9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9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9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9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9CA"/>
    <w:pPr>
      <w:spacing w:after="0" w:line="240" w:lineRule="auto"/>
    </w:pPr>
  </w:style>
  <w:style w:type="paragraph" w:styleId="ListParagraph">
    <w:name w:val="List Paragraph"/>
    <w:aliases w:val="TEKST"/>
    <w:basedOn w:val="Normal"/>
    <w:uiPriority w:val="34"/>
    <w:qFormat/>
    <w:rsid w:val="006757E1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29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1929C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9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9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9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9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9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9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9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9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929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929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9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29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929CA"/>
    <w:rPr>
      <w:b/>
      <w:bCs/>
    </w:rPr>
  </w:style>
  <w:style w:type="character" w:styleId="Emphasis">
    <w:name w:val="Emphasis"/>
    <w:basedOn w:val="DefaultParagraphFont"/>
    <w:uiPriority w:val="20"/>
    <w:qFormat/>
    <w:rsid w:val="001929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929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929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9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9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29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929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29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929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929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9CA"/>
    <w:pPr>
      <w:outlineLvl w:val="9"/>
    </w:pPr>
  </w:style>
  <w:style w:type="paragraph" w:customStyle="1" w:styleId="NASLOV">
    <w:name w:val="NASLOV"/>
    <w:basedOn w:val="Normal"/>
    <w:link w:val="NASLOVChar"/>
    <w:qFormat/>
    <w:rsid w:val="000024B9"/>
    <w:pPr>
      <w:spacing w:after="0" w:line="360" w:lineRule="auto"/>
      <w:jc w:val="both"/>
    </w:pPr>
    <w:rPr>
      <w:rFonts w:ascii="Times New Roman" w:eastAsiaTheme="minorHAnsi" w:hAnsi="Times New Roman" w:cs="Times New Roman"/>
      <w:b/>
      <w:bCs/>
      <w:sz w:val="24"/>
      <w:szCs w:val="30"/>
    </w:rPr>
  </w:style>
  <w:style w:type="paragraph" w:customStyle="1" w:styleId="PODNASLOV">
    <w:name w:val="PODNASLOV"/>
    <w:basedOn w:val="NoSpacing"/>
    <w:link w:val="PODNASLOVChar"/>
    <w:qFormat/>
    <w:rsid w:val="00482514"/>
    <w:rPr>
      <w:rFonts w:ascii="Times New Roman" w:eastAsiaTheme="minorHAnsi" w:hAnsi="Times New Roman"/>
      <w:b/>
      <w:sz w:val="24"/>
    </w:rPr>
  </w:style>
  <w:style w:type="character" w:customStyle="1" w:styleId="NASLOVChar">
    <w:name w:val="NASLOV Char"/>
    <w:basedOn w:val="DefaultParagraphFont"/>
    <w:link w:val="NASLOV"/>
    <w:rsid w:val="000024B9"/>
    <w:rPr>
      <w:rFonts w:ascii="Times New Roman" w:eastAsiaTheme="minorHAnsi" w:hAnsi="Times New Roman" w:cs="Times New Roman"/>
      <w:b/>
      <w:bCs/>
      <w:sz w:val="24"/>
      <w:szCs w:val="30"/>
    </w:rPr>
  </w:style>
  <w:style w:type="paragraph" w:styleId="TOC2">
    <w:name w:val="toc 2"/>
    <w:basedOn w:val="Normal"/>
    <w:next w:val="Normal"/>
    <w:autoRedefine/>
    <w:uiPriority w:val="39"/>
    <w:unhideWhenUsed/>
    <w:rsid w:val="0037537F"/>
    <w:pPr>
      <w:spacing w:before="240" w:after="0"/>
    </w:pPr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2514"/>
  </w:style>
  <w:style w:type="character" w:customStyle="1" w:styleId="PODNASLOVChar">
    <w:name w:val="PODNASLOV Char"/>
    <w:basedOn w:val="NoSpacingChar"/>
    <w:link w:val="PODNASLOV"/>
    <w:rsid w:val="00482514"/>
    <w:rPr>
      <w:rFonts w:ascii="Times New Roman" w:eastAsiaTheme="minorHAnsi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7537F"/>
    <w:pPr>
      <w:spacing w:after="0"/>
      <w:ind w:left="21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537F"/>
    <w:pPr>
      <w:spacing w:after="0"/>
      <w:ind w:left="4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537F"/>
    <w:pPr>
      <w:spacing w:after="0"/>
      <w:ind w:left="63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537F"/>
    <w:pPr>
      <w:spacing w:after="0"/>
      <w:ind w:left="84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537F"/>
    <w:pPr>
      <w:spacing w:after="0"/>
      <w:ind w:left="105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537F"/>
    <w:pPr>
      <w:spacing w:after="0"/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537F"/>
    <w:pPr>
      <w:spacing w:after="0"/>
      <w:ind w:left="147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1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JM\jjs\I%20Z%20V%20R%20&#352;%20E%20NJ%20E\2023\2023%20%20-%20Polugodi&#353;nji%20izvje&#353;taj%20o%20izvr&#353;enju%20financijskog%20plana%20_%20verzija%201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/>
              <a:t>ADMINISTRACIJA I UPRAVLJANJE</a:t>
            </a:r>
          </a:p>
        </c:rich>
      </c:tx>
      <c:layout>
        <c:manualLayout>
          <c:xMode val="edge"/>
          <c:yMode val="edge"/>
          <c:x val="0.21821849318015576"/>
          <c:y val="2.1447721179624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8FE-4AA1-973C-AE6BF2C4EE4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8FE-4AA1-973C-AE6BF2C4EE4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8FE-4AA1-973C-AE6BF2C4EE49}"/>
              </c:ext>
            </c:extLst>
          </c:dPt>
          <c:dLbls>
            <c:dLbl>
              <c:idx val="0"/>
              <c:layout>
                <c:manualLayout>
                  <c:x val="1.9114495933909099E-3"/>
                  <c:y val="1.824660657364207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FE-4AA1-973C-AE6BF2C4EE49}"/>
                </c:ext>
              </c:extLst>
            </c:dLbl>
            <c:dLbl>
              <c:idx val="1"/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FE-4AA1-973C-AE6BF2C4EE49}"/>
                </c:ext>
              </c:extLst>
            </c:dLbl>
            <c:dLbl>
              <c:idx val="2"/>
              <c:layout>
                <c:manualLayout>
                  <c:x val="-0.1222589389441074"/>
                  <c:y val="1.7587975765763864E-2"/>
                </c:manualLayout>
              </c:layout>
              <c:tx>
                <c:rich>
                  <a:bodyPr/>
                  <a:lstStyle/>
                  <a:p>
                    <a:fld id="{5A8120DD-093C-4766-BA95-D889250912C6}" type="VALUE">
                      <a:rPr lang="en-US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3E0AB806-8E4A-4105-8535-B7294B69A96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8FE-4AA1-973C-AE6BF2C4EE4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'II. POSEBNI DIO'!$H$19:$H$21</c:f>
              <c:strCache>
                <c:ptCount val="3"/>
                <c:pt idx="0">
                  <c:v>Rashodi za zaposlene</c:v>
                </c:pt>
                <c:pt idx="1">
                  <c:v>Materijalni rashodi</c:v>
                </c:pt>
                <c:pt idx="2">
                  <c:v>Rashodi za nabavu proizvedene dugotrajne imovine</c:v>
                </c:pt>
              </c:strCache>
            </c:strRef>
          </c:cat>
          <c:val>
            <c:numRef>
              <c:f>'II. POSEBNI DIO'!$I$19:$I$21</c:f>
              <c:numCache>
                <c:formatCode>_(* #,##0.00_);_(* \(#,##0.00\);_(* "-"??_);_(@_)</c:formatCode>
                <c:ptCount val="3"/>
                <c:pt idx="0">
                  <c:v>496534.04</c:v>
                </c:pt>
                <c:pt idx="1">
                  <c:v>1604433.1</c:v>
                </c:pt>
                <c:pt idx="2">
                  <c:v>65851.38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FE-4AA1-973C-AE6BF2C4EE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/>
              <a:t>Rashodi za materijal i energiju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7DB-43C3-8AD2-793C93A2A1D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7DB-43C3-8AD2-793C93A2A1D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7DB-43C3-8AD2-793C93A2A1D2}"/>
              </c:ext>
            </c:extLst>
          </c:dPt>
          <c:dLbls>
            <c:dLbl>
              <c:idx val="0"/>
              <c:layout>
                <c:manualLayout>
                  <c:x val="-0.13591719639696209"/>
                  <c:y val="1.66153003880649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DB-43C3-8AD2-793C93A2A1D2}"/>
                </c:ext>
              </c:extLst>
            </c:dLbl>
            <c:dLbl>
              <c:idx val="2"/>
              <c:layout>
                <c:manualLayout>
                  <c:x val="0.11435826335661531"/>
                  <c:y val="7.29027583208540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DB-43C3-8AD2-793C93A2A1D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'II. POSEBNI DIO'!$I$42:$I$44</c:f>
              <c:strCache>
                <c:ptCount val="3"/>
                <c:pt idx="0">
                  <c:v>Materijal i sirovine</c:v>
                </c:pt>
                <c:pt idx="1">
                  <c:v>Energija</c:v>
                </c:pt>
                <c:pt idx="2">
                  <c:v>Ostalo</c:v>
                </c:pt>
              </c:strCache>
            </c:strRef>
          </c:cat>
          <c:val>
            <c:numRef>
              <c:f>'II. POSEBNI DIO'!$J$42:$J$44</c:f>
              <c:numCache>
                <c:formatCode>_(* #,##0.00_);_(* \(#,##0.00\);_(* "-"??_);_(@_)</c:formatCode>
                <c:ptCount val="3"/>
                <c:pt idx="0">
                  <c:v>51328.4</c:v>
                </c:pt>
                <c:pt idx="1">
                  <c:v>63282.82</c:v>
                </c:pt>
                <c:pt idx="2">
                  <c:v>27776.74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DB-43C3-8AD2-793C93A2A1D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34136430620591"/>
          <c:y val="0.36933320451507978"/>
          <c:w val="0.2634302107585389"/>
          <c:h val="0.337816208556752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8DAF-E67A-45A1-BBEE-53214EDF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Vladimir Šimić</cp:lastModifiedBy>
  <cp:revision>2</cp:revision>
  <cp:lastPrinted>2023-07-24T10:27:00Z</cp:lastPrinted>
  <dcterms:created xsi:type="dcterms:W3CDTF">2023-07-24T14:45:00Z</dcterms:created>
  <dcterms:modified xsi:type="dcterms:W3CDTF">2023-07-24T14:45:00Z</dcterms:modified>
</cp:coreProperties>
</file>