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B196" w14:textId="783BDE16" w:rsidR="00D76CE4" w:rsidRDefault="00D76CE4" w:rsidP="00E64B16">
      <w:pPr>
        <w:tabs>
          <w:tab w:val="left" w:pos="9900"/>
        </w:tabs>
        <w:rPr>
          <w:rFonts w:asciiTheme="majorHAnsi" w:hAnsiTheme="majorHAnsi" w:cstheme="majorHAnsi"/>
        </w:rPr>
      </w:pPr>
    </w:p>
    <w:p w14:paraId="0BDF2C69" w14:textId="77777777" w:rsidR="008E669D" w:rsidRDefault="008E669D" w:rsidP="008E669D">
      <w:pPr>
        <w:tabs>
          <w:tab w:val="left" w:pos="1134"/>
          <w:tab w:val="right" w:pos="7513"/>
        </w:tabs>
        <w:jc w:val="center"/>
        <w:rPr>
          <w:b/>
          <w:color w:val="000000"/>
          <w:sz w:val="26"/>
          <w:szCs w:val="26"/>
        </w:rPr>
      </w:pPr>
    </w:p>
    <w:p w14:paraId="0BB77C68" w14:textId="37A62C72" w:rsidR="008E669D" w:rsidRPr="00347086" w:rsidRDefault="008E669D" w:rsidP="008E669D">
      <w:pPr>
        <w:tabs>
          <w:tab w:val="left" w:pos="1134"/>
          <w:tab w:val="right" w:pos="7513"/>
        </w:tabs>
        <w:jc w:val="center"/>
        <w:rPr>
          <w:rFonts w:asciiTheme="majorHAnsi" w:hAnsiTheme="majorHAnsi" w:cstheme="majorHAnsi"/>
          <w:b/>
          <w:color w:val="000000"/>
        </w:rPr>
      </w:pPr>
      <w:r w:rsidRPr="00347086">
        <w:rPr>
          <w:rFonts w:asciiTheme="majorHAnsi" w:hAnsiTheme="majorHAnsi" w:cstheme="majorHAnsi"/>
          <w:b/>
          <w:color w:val="000000"/>
        </w:rPr>
        <w:t xml:space="preserve"> </w:t>
      </w:r>
      <w:bookmarkStart w:id="0" w:name="_Toc129618872"/>
      <w:r w:rsidRPr="00347086">
        <w:rPr>
          <w:rFonts w:asciiTheme="majorHAnsi" w:hAnsiTheme="majorHAnsi" w:cstheme="majorHAnsi"/>
          <w:b/>
          <w:color w:val="000000"/>
        </w:rPr>
        <w:t xml:space="preserve">OBRAZLOŽENJE GODIŠNJEG IZVJEŠTAJA O IZVRŠENJU FINANCIJSKOG PLANA ZA RAZDOBLJE </w:t>
      </w:r>
      <w:r w:rsidR="0006015D">
        <w:rPr>
          <w:rFonts w:asciiTheme="majorHAnsi" w:hAnsiTheme="majorHAnsi" w:cstheme="majorHAnsi"/>
          <w:b/>
          <w:color w:val="000000"/>
        </w:rPr>
        <w:t xml:space="preserve">                </w:t>
      </w:r>
      <w:r w:rsidRPr="00347086">
        <w:rPr>
          <w:rFonts w:asciiTheme="majorHAnsi" w:hAnsiTheme="majorHAnsi" w:cstheme="majorHAnsi"/>
          <w:b/>
          <w:color w:val="000000"/>
        </w:rPr>
        <w:t>OD 01.01. DO 31.12.2024. GODINE</w:t>
      </w:r>
    </w:p>
    <w:p w14:paraId="192C6778" w14:textId="77777777" w:rsidR="008E669D" w:rsidRPr="00347086" w:rsidRDefault="008E669D" w:rsidP="008E669D">
      <w:pPr>
        <w:jc w:val="both"/>
        <w:rPr>
          <w:rFonts w:asciiTheme="majorHAnsi" w:eastAsia="Calibri" w:hAnsiTheme="majorHAnsi" w:cstheme="majorHAnsi"/>
          <w:b/>
          <w:bCs/>
          <w:color w:val="000000"/>
        </w:rPr>
      </w:pPr>
    </w:p>
    <w:p w14:paraId="578A1739" w14:textId="77777777" w:rsidR="008E669D" w:rsidRPr="00347086" w:rsidRDefault="008E669D" w:rsidP="008E669D">
      <w:pPr>
        <w:jc w:val="both"/>
        <w:rPr>
          <w:rFonts w:asciiTheme="majorHAnsi" w:hAnsiTheme="majorHAnsi" w:cstheme="majorHAnsi"/>
        </w:rPr>
      </w:pPr>
      <w:r w:rsidRPr="00347086">
        <w:rPr>
          <w:rFonts w:asciiTheme="majorHAnsi" w:hAnsiTheme="majorHAnsi" w:cstheme="majorHAnsi"/>
        </w:rPr>
        <w:t xml:space="preserve">Sukladno članku 43. i članku 45. Pravilnika o polugodišnjem i godišnjem izvještaju o izvršenju proračuna i financijskog plana („Narodne novine“, broj 85/2023.) daje se obrazloženje općeg i posebnog dijela izvještaja o izvršenju financijskog plana za razdoblje od 1. siječnja do 31. prosinca 2024. godine. </w:t>
      </w:r>
    </w:p>
    <w:p w14:paraId="67A9BB20" w14:textId="77777777" w:rsidR="008E669D" w:rsidRPr="00347086" w:rsidRDefault="008E669D" w:rsidP="008E669D">
      <w:pPr>
        <w:jc w:val="both"/>
        <w:rPr>
          <w:rFonts w:asciiTheme="majorHAnsi" w:eastAsia="Calibri" w:hAnsiTheme="majorHAnsi" w:cstheme="majorHAnsi"/>
          <w:b/>
          <w:bCs/>
          <w:color w:val="000000"/>
        </w:rPr>
      </w:pPr>
    </w:p>
    <w:p w14:paraId="757C9729" w14:textId="77777777" w:rsidR="008E669D" w:rsidRPr="00347086" w:rsidRDefault="008E669D" w:rsidP="008E669D">
      <w:pPr>
        <w:jc w:val="both"/>
        <w:rPr>
          <w:rFonts w:asciiTheme="majorHAnsi" w:eastAsia="Calibri" w:hAnsiTheme="majorHAnsi" w:cstheme="majorHAnsi"/>
          <w:b/>
          <w:bCs/>
          <w:color w:val="000000"/>
        </w:rPr>
      </w:pPr>
      <w:r w:rsidRPr="00347086">
        <w:rPr>
          <w:rFonts w:asciiTheme="majorHAnsi" w:eastAsia="Calibri" w:hAnsiTheme="majorHAnsi" w:cstheme="majorHAnsi"/>
          <w:b/>
          <w:bCs/>
          <w:color w:val="000000"/>
        </w:rPr>
        <w:t>I. Obrazloženje općeg dijela izvještaja o izvršenju financijskog plana za 2024. godinu</w:t>
      </w:r>
    </w:p>
    <w:bookmarkEnd w:id="0"/>
    <w:p w14:paraId="47BFE63F" w14:textId="77777777" w:rsidR="008E669D" w:rsidRPr="00347086" w:rsidRDefault="008E669D" w:rsidP="008E669D">
      <w:pPr>
        <w:contextualSpacing/>
        <w:jc w:val="both"/>
        <w:rPr>
          <w:rFonts w:asciiTheme="majorHAnsi" w:eastAsia="Calibri" w:hAnsiTheme="majorHAnsi" w:cstheme="majorHAnsi"/>
          <w:color w:val="000000"/>
        </w:rPr>
      </w:pPr>
    </w:p>
    <w:p w14:paraId="27F0DD86" w14:textId="77777777" w:rsidR="008E669D" w:rsidRPr="00347086" w:rsidRDefault="008E669D" w:rsidP="008E669D">
      <w:pPr>
        <w:contextualSpacing/>
        <w:jc w:val="both"/>
        <w:rPr>
          <w:rFonts w:asciiTheme="majorHAnsi" w:hAnsiTheme="majorHAnsi" w:cstheme="majorHAnsi"/>
          <w:b/>
          <w:color w:val="000000"/>
        </w:rPr>
      </w:pPr>
      <w:bookmarkStart w:id="1" w:name="_Toc129618873"/>
      <w:r w:rsidRPr="00347086">
        <w:rPr>
          <w:rFonts w:asciiTheme="majorHAnsi" w:hAnsiTheme="majorHAnsi" w:cstheme="majorHAnsi"/>
          <w:b/>
          <w:color w:val="000000"/>
        </w:rPr>
        <w:t>PRIHODI I RASHODI</w:t>
      </w:r>
    </w:p>
    <w:p w14:paraId="5E6F20F7" w14:textId="77777777" w:rsidR="008E669D" w:rsidRPr="00347086" w:rsidRDefault="008E669D" w:rsidP="008E669D">
      <w:pPr>
        <w:contextualSpacing/>
        <w:jc w:val="both"/>
        <w:rPr>
          <w:rFonts w:asciiTheme="majorHAnsi" w:hAnsiTheme="majorHAnsi" w:cstheme="majorHAnsi"/>
          <w:color w:val="000000"/>
        </w:rPr>
      </w:pPr>
    </w:p>
    <w:p w14:paraId="685081EA" w14:textId="277912A4" w:rsidR="008E669D" w:rsidRPr="00347086" w:rsidRDefault="008E669D" w:rsidP="008E669D">
      <w:pPr>
        <w:pStyle w:val="paragraph"/>
        <w:spacing w:before="0" w:beforeAutospacing="0" w:after="0" w:afterAutospacing="0"/>
        <w:jc w:val="both"/>
        <w:textAlignment w:val="baseline"/>
        <w:rPr>
          <w:rFonts w:asciiTheme="majorHAnsi" w:hAnsiTheme="majorHAnsi" w:cstheme="majorHAnsi"/>
          <w:color w:val="000000"/>
        </w:rPr>
      </w:pPr>
      <w:r w:rsidRPr="00347086">
        <w:rPr>
          <w:rFonts w:asciiTheme="majorHAnsi" w:hAnsiTheme="majorHAnsi" w:cstheme="majorHAnsi"/>
          <w:color w:val="000000"/>
        </w:rPr>
        <w:t>Sukladno članku 212. stavak 3. Zakona o vodama (NN 66/19, 84/21 i 47/23) i članku 14. stavak 1. Uredbe o osnivanju Instituta za vode „Josip Juraj Strossmayer“ (u nastavku: Institut) s</w:t>
      </w:r>
      <w:r w:rsidRPr="00347086">
        <w:rPr>
          <w:rStyle w:val="normaltextrun"/>
          <w:rFonts w:asciiTheme="majorHAnsi" w:hAnsiTheme="majorHAnsi" w:cstheme="majorHAnsi"/>
          <w:color w:val="231F20"/>
          <w:shd w:val="clear" w:color="auto" w:fill="FFFFFF"/>
        </w:rPr>
        <w:t xml:space="preserve">redstva za poslovanje Instituta osiguravaju se na teret prihoda od vodnih naknada u skladu s financijskim planom Hrvatskih voda </w:t>
      </w:r>
      <w:r w:rsidRPr="00347086">
        <w:rPr>
          <w:rFonts w:asciiTheme="majorHAnsi" w:hAnsiTheme="majorHAnsi" w:cstheme="majorHAnsi"/>
          <w:color w:val="000000"/>
        </w:rPr>
        <w:t xml:space="preserve">i planirana su na izvoru 52 Ostale pomoći i to u okviru skupine računa </w:t>
      </w:r>
      <w:bookmarkStart w:id="2" w:name="_Hlk141077047"/>
      <w:r w:rsidRPr="00347086">
        <w:rPr>
          <w:rFonts w:asciiTheme="majorHAnsi" w:hAnsiTheme="majorHAnsi" w:cstheme="majorHAnsi"/>
          <w:color w:val="000000"/>
        </w:rPr>
        <w:t xml:space="preserve">pomoći iz inozemstva i od subjekata unutar općeg proračuna u iznosu od </w:t>
      </w:r>
      <w:bookmarkEnd w:id="2"/>
      <w:r w:rsidRPr="00347086">
        <w:rPr>
          <w:rFonts w:asciiTheme="majorHAnsi" w:hAnsiTheme="majorHAnsi" w:cstheme="majorHAnsi"/>
          <w:color w:val="000000"/>
        </w:rPr>
        <w:t xml:space="preserve">7.538.000,00 eur za 2024. godinu. Isti su ostvareni u prethodno navedenom planiranom iznosu odnosno sa indeksom od 100% planiranih sredstava. </w:t>
      </w:r>
    </w:p>
    <w:p w14:paraId="7394D435" w14:textId="77777777" w:rsidR="008E669D" w:rsidRPr="00347086" w:rsidRDefault="008E669D" w:rsidP="008E669D">
      <w:pPr>
        <w:contextualSpacing/>
        <w:jc w:val="both"/>
        <w:rPr>
          <w:rFonts w:asciiTheme="majorHAnsi" w:hAnsiTheme="majorHAnsi" w:cstheme="majorHAnsi"/>
          <w:color w:val="000000"/>
        </w:rPr>
      </w:pPr>
    </w:p>
    <w:p w14:paraId="2F9DEC2B" w14:textId="77777777" w:rsidR="008E669D" w:rsidRPr="00347086" w:rsidRDefault="008E669D" w:rsidP="008E669D">
      <w:pPr>
        <w:contextualSpacing/>
        <w:jc w:val="both"/>
        <w:rPr>
          <w:rFonts w:asciiTheme="majorHAnsi" w:hAnsiTheme="majorHAnsi" w:cstheme="majorHAnsi"/>
          <w:color w:val="000000"/>
        </w:rPr>
      </w:pPr>
      <w:r w:rsidRPr="00347086">
        <w:rPr>
          <w:rFonts w:asciiTheme="majorHAnsi" w:hAnsiTheme="majorHAnsi" w:cstheme="majorHAnsi"/>
          <w:color w:val="000000"/>
        </w:rPr>
        <w:t>Ostvarenje ukupnih rashoda Instituta u 2024. godini iznosi 8.999.074,43 eur odnosno 119,38% plana za 2024. godinu. S obzirom da su rashodi po ekonomskoj klasifikaciji u Općem dijelu istovjetni rashodima u Posebnom dijelu izvršenja rashoda po programskoj klasifikaciji, obrazloženje rashoda daje se u okviru Posebnog dijela ovog izvještaja.</w:t>
      </w:r>
    </w:p>
    <w:p w14:paraId="5879EB49" w14:textId="77777777" w:rsidR="008E669D" w:rsidRPr="00347086" w:rsidRDefault="008E669D" w:rsidP="008E669D">
      <w:pPr>
        <w:contextualSpacing/>
        <w:jc w:val="both"/>
        <w:rPr>
          <w:rFonts w:asciiTheme="majorHAnsi" w:hAnsiTheme="majorHAnsi" w:cstheme="majorHAnsi"/>
          <w:color w:val="000000"/>
        </w:rPr>
      </w:pPr>
    </w:p>
    <w:p w14:paraId="58443C2A" w14:textId="77777777" w:rsidR="008E669D" w:rsidRPr="00347086" w:rsidRDefault="008E669D" w:rsidP="008E669D">
      <w:pPr>
        <w:jc w:val="both"/>
        <w:rPr>
          <w:rFonts w:asciiTheme="majorHAnsi" w:eastAsia="Calibri" w:hAnsiTheme="majorHAnsi" w:cstheme="majorHAnsi"/>
          <w:b/>
          <w:bCs/>
          <w:color w:val="000000"/>
        </w:rPr>
      </w:pPr>
      <w:r w:rsidRPr="00347086">
        <w:rPr>
          <w:rFonts w:asciiTheme="majorHAnsi" w:eastAsia="Calibri" w:hAnsiTheme="majorHAnsi" w:cstheme="majorHAnsi"/>
          <w:b/>
          <w:bCs/>
          <w:color w:val="000000"/>
        </w:rPr>
        <w:t>PRIMICI</w:t>
      </w:r>
      <w:bookmarkEnd w:id="1"/>
      <w:r w:rsidRPr="00347086">
        <w:rPr>
          <w:rFonts w:asciiTheme="majorHAnsi" w:eastAsia="Calibri" w:hAnsiTheme="majorHAnsi" w:cstheme="majorHAnsi"/>
          <w:b/>
          <w:bCs/>
          <w:color w:val="000000"/>
        </w:rPr>
        <w:t xml:space="preserve"> I IZDACI</w:t>
      </w:r>
    </w:p>
    <w:p w14:paraId="4CC4FFA2" w14:textId="77777777" w:rsidR="008E669D" w:rsidRPr="00347086" w:rsidRDefault="008E669D" w:rsidP="008E669D">
      <w:pPr>
        <w:contextualSpacing/>
        <w:jc w:val="both"/>
        <w:rPr>
          <w:rFonts w:asciiTheme="majorHAnsi" w:hAnsiTheme="majorHAnsi" w:cstheme="majorHAnsi"/>
          <w:color w:val="000000"/>
        </w:rPr>
      </w:pPr>
    </w:p>
    <w:p w14:paraId="3C8FC4AA" w14:textId="77777777" w:rsidR="008E669D" w:rsidRPr="00347086" w:rsidRDefault="008E669D" w:rsidP="008E669D">
      <w:pPr>
        <w:contextualSpacing/>
        <w:jc w:val="both"/>
        <w:rPr>
          <w:rFonts w:asciiTheme="majorHAnsi" w:hAnsiTheme="majorHAnsi" w:cstheme="majorHAnsi"/>
          <w:color w:val="000000"/>
        </w:rPr>
      </w:pPr>
      <w:r w:rsidRPr="00347086">
        <w:rPr>
          <w:rFonts w:asciiTheme="majorHAnsi" w:hAnsiTheme="majorHAnsi" w:cstheme="majorHAnsi"/>
          <w:color w:val="000000"/>
        </w:rPr>
        <w:t>Institut u 2024. godini nije planirao/ostvario primitke od financijske imovine i zaduživanja kao ni izdatke za financijsku imovinu i otplate zajmova tako da obrazloženje Računa financiranja nije primjenjivo.</w:t>
      </w:r>
    </w:p>
    <w:p w14:paraId="72788D4A" w14:textId="77777777" w:rsidR="008E669D" w:rsidRPr="00347086" w:rsidRDefault="008E669D" w:rsidP="008E669D">
      <w:pPr>
        <w:contextualSpacing/>
        <w:jc w:val="both"/>
        <w:rPr>
          <w:rFonts w:asciiTheme="majorHAnsi" w:hAnsiTheme="majorHAnsi" w:cstheme="majorHAnsi"/>
          <w:color w:val="000000"/>
        </w:rPr>
      </w:pPr>
    </w:p>
    <w:p w14:paraId="15D1406E" w14:textId="77777777" w:rsidR="008E669D" w:rsidRPr="00347086" w:rsidRDefault="008E669D" w:rsidP="008E669D">
      <w:pPr>
        <w:contextualSpacing/>
        <w:jc w:val="both"/>
        <w:rPr>
          <w:rFonts w:asciiTheme="majorHAnsi" w:hAnsiTheme="majorHAnsi" w:cstheme="majorHAnsi"/>
          <w:color w:val="000000"/>
        </w:rPr>
      </w:pPr>
    </w:p>
    <w:p w14:paraId="17A168D9" w14:textId="77777777" w:rsidR="008E669D" w:rsidRPr="00347086" w:rsidRDefault="008E669D" w:rsidP="008E669D">
      <w:pPr>
        <w:jc w:val="both"/>
        <w:rPr>
          <w:rFonts w:asciiTheme="majorHAnsi" w:eastAsia="Calibri" w:hAnsiTheme="majorHAnsi" w:cstheme="majorHAnsi"/>
          <w:b/>
          <w:bCs/>
          <w:color w:val="000000"/>
        </w:rPr>
      </w:pPr>
      <w:r w:rsidRPr="00347086">
        <w:rPr>
          <w:rFonts w:asciiTheme="majorHAnsi" w:eastAsia="Calibri" w:hAnsiTheme="majorHAnsi" w:cstheme="majorHAnsi"/>
          <w:b/>
          <w:bCs/>
          <w:color w:val="000000"/>
        </w:rPr>
        <w:t>PRIJENOS SREDSTAVA IZ PRETHODNE I U SLJEDEĆU GODINU</w:t>
      </w:r>
    </w:p>
    <w:p w14:paraId="263FF8BE" w14:textId="77777777" w:rsidR="008E669D" w:rsidRPr="00347086" w:rsidRDefault="008E669D" w:rsidP="008E669D">
      <w:pPr>
        <w:jc w:val="both"/>
        <w:rPr>
          <w:rFonts w:asciiTheme="majorHAnsi" w:eastAsia="Calibri" w:hAnsiTheme="majorHAnsi" w:cstheme="majorHAnsi"/>
          <w:color w:val="000000"/>
        </w:rPr>
      </w:pPr>
    </w:p>
    <w:p w14:paraId="7F36556E" w14:textId="77777777" w:rsidR="008E669D" w:rsidRPr="00347086" w:rsidRDefault="008E669D" w:rsidP="008E669D">
      <w:pPr>
        <w:jc w:val="both"/>
        <w:rPr>
          <w:rFonts w:asciiTheme="majorHAnsi" w:eastAsia="Calibri" w:hAnsiTheme="majorHAnsi" w:cstheme="majorHAnsi"/>
          <w:color w:val="000000"/>
        </w:rPr>
      </w:pPr>
      <w:r w:rsidRPr="00347086">
        <w:rPr>
          <w:rFonts w:asciiTheme="majorHAnsi" w:eastAsia="Calibri" w:hAnsiTheme="majorHAnsi" w:cstheme="majorHAnsi"/>
          <w:color w:val="000000"/>
        </w:rPr>
        <w:t>Sukladno Zakonu o proračunu i Zakonu o izvršavanju državnog proračuna namjenski prihodi i primici te vlastiti prihodi koji nisu iskorišteni u prethodnoj proračunskoj godini prenose se u proračun tekuće godine na zahtjev proračunskog korisnika.</w:t>
      </w:r>
    </w:p>
    <w:p w14:paraId="627856F1" w14:textId="77777777" w:rsidR="008E669D" w:rsidRPr="00347086" w:rsidRDefault="008E669D" w:rsidP="008E669D">
      <w:pPr>
        <w:jc w:val="both"/>
        <w:rPr>
          <w:rFonts w:asciiTheme="majorHAnsi" w:eastAsia="Calibri" w:hAnsiTheme="majorHAnsi" w:cstheme="majorHAnsi"/>
          <w:color w:val="000000"/>
        </w:rPr>
      </w:pPr>
    </w:p>
    <w:p w14:paraId="3DAC50AA" w14:textId="77777777" w:rsidR="008E669D" w:rsidRPr="00347086" w:rsidRDefault="008E669D" w:rsidP="008E669D">
      <w:pPr>
        <w:jc w:val="both"/>
        <w:rPr>
          <w:rFonts w:asciiTheme="majorHAnsi" w:eastAsia="Calibri" w:hAnsiTheme="majorHAnsi" w:cstheme="majorHAnsi"/>
          <w:color w:val="000000"/>
        </w:rPr>
      </w:pPr>
      <w:r w:rsidRPr="00347086">
        <w:rPr>
          <w:rFonts w:asciiTheme="majorHAnsi" w:eastAsia="Calibri" w:hAnsiTheme="majorHAnsi" w:cstheme="majorHAnsi"/>
          <w:color w:val="000000"/>
        </w:rPr>
        <w:t>Temeljem odredbi Zakona o izvršavanju Državnog proračuna Republike Hrvatske proračunski korisnici dužni su Zahtjev za prijenos neutrošenih prihoda dostaviti Ministarstvu financija kako bi neutrošeni prihodi bili raspoloživi za korištenje.</w:t>
      </w:r>
    </w:p>
    <w:p w14:paraId="169F5FEE" w14:textId="77777777" w:rsidR="008E669D" w:rsidRPr="00347086" w:rsidRDefault="008E669D" w:rsidP="008E669D">
      <w:pPr>
        <w:jc w:val="both"/>
        <w:rPr>
          <w:rFonts w:asciiTheme="majorHAnsi" w:eastAsia="Calibri" w:hAnsiTheme="majorHAnsi" w:cstheme="majorHAnsi"/>
          <w:color w:val="000000"/>
        </w:rPr>
      </w:pPr>
    </w:p>
    <w:p w14:paraId="7B2FDC96" w14:textId="77777777" w:rsidR="008E669D" w:rsidRPr="00347086" w:rsidRDefault="008E669D" w:rsidP="008E669D">
      <w:pPr>
        <w:jc w:val="both"/>
        <w:rPr>
          <w:rFonts w:asciiTheme="majorHAnsi" w:eastAsia="Calibri" w:hAnsiTheme="majorHAnsi" w:cstheme="majorHAnsi"/>
          <w:color w:val="000000"/>
        </w:rPr>
      </w:pPr>
      <w:r w:rsidRPr="00347086">
        <w:rPr>
          <w:rFonts w:asciiTheme="majorHAnsi" w:eastAsia="Calibri" w:hAnsiTheme="majorHAnsi" w:cstheme="majorHAnsi"/>
          <w:color w:val="000000"/>
        </w:rPr>
        <w:t>Slijedom navedenog, neutrošeni prihodi Instituta iz 2023. godine u iznosu od 1.947.367,92 eur preneseni su u 2024. godinu. Prijenos sredstava u sljedeću godinu za izvještajno razdoblje iznosi 486.293,49 eur.</w:t>
      </w:r>
    </w:p>
    <w:p w14:paraId="762E705B" w14:textId="77777777" w:rsidR="008E669D" w:rsidRPr="00347086" w:rsidRDefault="008E669D" w:rsidP="008E669D">
      <w:pPr>
        <w:jc w:val="both"/>
        <w:rPr>
          <w:rFonts w:asciiTheme="majorHAnsi" w:eastAsia="Calibri" w:hAnsiTheme="majorHAnsi" w:cstheme="majorHAnsi"/>
          <w:color w:val="000000"/>
        </w:rPr>
      </w:pPr>
    </w:p>
    <w:p w14:paraId="77043D68" w14:textId="77777777" w:rsidR="00842ADD" w:rsidRPr="00347086" w:rsidRDefault="00842ADD" w:rsidP="008E669D">
      <w:pPr>
        <w:jc w:val="both"/>
        <w:rPr>
          <w:rFonts w:asciiTheme="majorHAnsi" w:eastAsia="Calibri" w:hAnsiTheme="majorHAnsi" w:cstheme="majorHAnsi"/>
          <w:b/>
          <w:bCs/>
          <w:color w:val="000000"/>
        </w:rPr>
      </w:pPr>
    </w:p>
    <w:p w14:paraId="43655F71" w14:textId="77777777" w:rsidR="00347086" w:rsidRDefault="00347086" w:rsidP="008E669D">
      <w:pPr>
        <w:jc w:val="both"/>
        <w:rPr>
          <w:rFonts w:asciiTheme="majorHAnsi" w:eastAsia="Calibri" w:hAnsiTheme="majorHAnsi" w:cstheme="majorHAnsi"/>
          <w:b/>
          <w:bCs/>
          <w:color w:val="000000"/>
        </w:rPr>
      </w:pPr>
    </w:p>
    <w:p w14:paraId="6C1D9461" w14:textId="7E3E9EF7" w:rsidR="008E669D" w:rsidRPr="00347086" w:rsidRDefault="008E669D" w:rsidP="008E669D">
      <w:pPr>
        <w:jc w:val="both"/>
        <w:rPr>
          <w:rFonts w:asciiTheme="majorHAnsi" w:eastAsia="Calibri" w:hAnsiTheme="majorHAnsi" w:cstheme="majorHAnsi"/>
          <w:b/>
          <w:bCs/>
          <w:color w:val="000000"/>
        </w:rPr>
      </w:pPr>
      <w:r w:rsidRPr="00347086">
        <w:rPr>
          <w:rFonts w:asciiTheme="majorHAnsi" w:eastAsia="Calibri" w:hAnsiTheme="majorHAnsi" w:cstheme="majorHAnsi"/>
          <w:b/>
          <w:bCs/>
          <w:color w:val="000000"/>
        </w:rPr>
        <w:lastRenderedPageBreak/>
        <w:t>II. Obrazloženje posebnog dijela izvještaja o izvršenju financijskog plana za 2024. godinu</w:t>
      </w:r>
    </w:p>
    <w:p w14:paraId="45D230D1" w14:textId="77777777" w:rsidR="008E669D" w:rsidRPr="00347086" w:rsidRDefault="008E669D" w:rsidP="008E669D">
      <w:pPr>
        <w:spacing w:before="120"/>
        <w:contextualSpacing/>
        <w:jc w:val="both"/>
        <w:rPr>
          <w:rFonts w:asciiTheme="majorHAnsi" w:hAnsiTheme="majorHAnsi" w:cstheme="majorHAnsi"/>
          <w:b/>
          <w:color w:val="000000"/>
        </w:rPr>
      </w:pPr>
    </w:p>
    <w:p w14:paraId="2BA7AB34" w14:textId="77777777" w:rsidR="008E669D" w:rsidRPr="00347086" w:rsidRDefault="008E669D" w:rsidP="008E669D">
      <w:pPr>
        <w:spacing w:before="120"/>
        <w:contextualSpacing/>
        <w:jc w:val="both"/>
        <w:rPr>
          <w:rFonts w:asciiTheme="majorHAnsi" w:hAnsiTheme="majorHAnsi" w:cstheme="majorHAnsi"/>
          <w:b/>
          <w:color w:val="000000"/>
        </w:rPr>
      </w:pPr>
      <w:r w:rsidRPr="00347086">
        <w:rPr>
          <w:rFonts w:asciiTheme="majorHAnsi" w:hAnsiTheme="majorHAnsi" w:cstheme="majorHAnsi"/>
          <w:b/>
          <w:color w:val="000000"/>
        </w:rPr>
        <w:t>07820 Institut za vode „Josip Juraj Strossmayer“</w:t>
      </w:r>
    </w:p>
    <w:p w14:paraId="5A5FA53C" w14:textId="77777777" w:rsidR="008E669D" w:rsidRPr="00347086" w:rsidRDefault="008E669D" w:rsidP="008E669D">
      <w:pPr>
        <w:spacing w:before="120"/>
        <w:contextualSpacing/>
        <w:jc w:val="both"/>
        <w:rPr>
          <w:rFonts w:asciiTheme="majorHAnsi" w:hAnsiTheme="majorHAnsi" w:cstheme="majorHAnsi"/>
          <w:b/>
          <w:color w:val="000000"/>
        </w:rPr>
      </w:pPr>
    </w:p>
    <w:p w14:paraId="2252C33E" w14:textId="77777777"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Djelatnost Instituta je provedba monitoringa površinskih, uključujući i priobalnih voda te podzemnih voda kao i laboratorijskih poslova, izrada stručnih podloga za izradu strategije upravljanja vodama, plana upravljanja vodnim područjima, plana upravljanja rizicima od poplava i višegodišnjih programa gradnje vodnih građevina, izrada znanstvenih, studijskih i analitičkih podloga za potrebe upravljanja vodama, provedba i drugih znanstvenih istraživanja u području upravljanja vodama, obavljanje poslova izrade znanstvenih i stručnih analiza nacrta zakona i provedbenih propisa, obavljanje poslova međunarodne suradnje u području upravljanja vodama, te priprema i provedba međunarodnih projekata vezanih za upravljanje vodama, obavljanje poslova izrade modela vrednovanja učinkovitosti poslovanja isporučitelja vodnih usluga te izrada izvještaja i analiza o tome, izobrazba državnih službenika te drugih zaposlenika u javnom sektoru i gospodarstvu u području upravljanja vodama, izrada drugih znanstvenih, studijskih i analitičkih podloga, te obavljanje poslova vještačenja u području upravljanja vodama.</w:t>
      </w:r>
    </w:p>
    <w:p w14:paraId="5C18F032" w14:textId="77777777" w:rsidR="008E669D" w:rsidRPr="00347086" w:rsidRDefault="008E669D" w:rsidP="008E669D">
      <w:pPr>
        <w:spacing w:before="120"/>
        <w:contextualSpacing/>
        <w:jc w:val="both"/>
        <w:rPr>
          <w:rFonts w:asciiTheme="majorHAnsi" w:hAnsiTheme="majorHAnsi" w:cstheme="majorHAnsi"/>
          <w:color w:val="000000"/>
        </w:rPr>
      </w:pPr>
    </w:p>
    <w:p w14:paraId="43C3A3BA" w14:textId="77777777" w:rsidR="008E669D"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A937001 ADMINISTRACIJA I UPRAVLJANJE</w:t>
      </w:r>
    </w:p>
    <w:p w14:paraId="18BBF8A5" w14:textId="77777777" w:rsidR="00347086" w:rsidRPr="00347086" w:rsidRDefault="00347086" w:rsidP="008E669D">
      <w:pPr>
        <w:spacing w:before="120"/>
        <w:contextualSpacing/>
        <w:jc w:val="both"/>
        <w:rPr>
          <w:rFonts w:asciiTheme="majorHAnsi" w:hAnsiTheme="majorHAnsi" w:cstheme="majorHAnsi"/>
          <w:color w:val="000000"/>
        </w:rPr>
      </w:pPr>
    </w:p>
    <w:p w14:paraId="436CF02F" w14:textId="77777777" w:rsidR="008E669D" w:rsidRPr="00347086" w:rsidRDefault="008E669D" w:rsidP="008E669D">
      <w:pPr>
        <w:rPr>
          <w:rFonts w:asciiTheme="majorHAnsi" w:hAnsiTheme="majorHAnsi" w:cstheme="majorHAnsi"/>
          <w:color w:val="000000"/>
        </w:rPr>
      </w:pPr>
      <w:r w:rsidRPr="00347086">
        <w:rPr>
          <w:rFonts w:asciiTheme="majorHAnsi" w:hAnsiTheme="majorHAnsi" w:cstheme="majorHAnsi"/>
          <w:color w:val="000000"/>
        </w:rPr>
        <w:t>Zakonske i druge pravne osnove:</w:t>
      </w:r>
    </w:p>
    <w:p w14:paraId="45471E34" w14:textId="77777777" w:rsidR="008E669D" w:rsidRPr="00347086" w:rsidRDefault="008E669D" w:rsidP="008E669D">
      <w:pPr>
        <w:numPr>
          <w:ilvl w:val="0"/>
          <w:numId w:val="18"/>
        </w:numPr>
        <w:spacing w:before="120" w:after="200" w:line="288" w:lineRule="auto"/>
        <w:contextualSpacing/>
        <w:jc w:val="both"/>
        <w:rPr>
          <w:rFonts w:asciiTheme="majorHAnsi" w:hAnsiTheme="majorHAnsi" w:cstheme="majorHAnsi"/>
          <w:color w:val="000000"/>
        </w:rPr>
      </w:pPr>
      <w:r w:rsidRPr="00347086">
        <w:rPr>
          <w:rFonts w:asciiTheme="majorHAnsi" w:hAnsiTheme="majorHAnsi" w:cstheme="majorHAnsi"/>
          <w:color w:val="000000"/>
        </w:rPr>
        <w:t>Zakon o vodama</w:t>
      </w:r>
    </w:p>
    <w:p w14:paraId="545E96A4" w14:textId="77777777" w:rsidR="008E669D" w:rsidRPr="00347086" w:rsidRDefault="008E669D" w:rsidP="008E669D">
      <w:pPr>
        <w:numPr>
          <w:ilvl w:val="0"/>
          <w:numId w:val="18"/>
        </w:numPr>
        <w:spacing w:after="200" w:line="288" w:lineRule="auto"/>
        <w:contextualSpacing/>
        <w:jc w:val="both"/>
        <w:rPr>
          <w:rFonts w:asciiTheme="majorHAnsi" w:hAnsiTheme="majorHAnsi" w:cstheme="majorHAnsi"/>
          <w:color w:val="000000"/>
        </w:rPr>
      </w:pPr>
      <w:r w:rsidRPr="00347086">
        <w:rPr>
          <w:rFonts w:asciiTheme="majorHAnsi" w:hAnsiTheme="majorHAnsi" w:cstheme="majorHAnsi"/>
          <w:color w:val="000000"/>
        </w:rPr>
        <w:t>Strategija upravljanja vodama</w:t>
      </w:r>
    </w:p>
    <w:p w14:paraId="4BC6050B" w14:textId="77777777" w:rsidR="008E669D" w:rsidRPr="00347086" w:rsidRDefault="008E669D" w:rsidP="008E669D">
      <w:pPr>
        <w:contextualSpacing/>
        <w:jc w:val="both"/>
        <w:rPr>
          <w:rFonts w:asciiTheme="majorHAnsi" w:hAnsiTheme="majorHAnsi" w:cstheme="majorHAnsi"/>
          <w:color w:val="000000"/>
        </w:rPr>
      </w:pPr>
    </w:p>
    <w:p w14:paraId="06BC4D51" w14:textId="77777777" w:rsidR="008E669D" w:rsidRPr="00347086" w:rsidRDefault="008E669D" w:rsidP="008E669D">
      <w:pPr>
        <w:contextualSpacing/>
        <w:jc w:val="both"/>
        <w:rPr>
          <w:rFonts w:asciiTheme="majorHAnsi" w:hAnsiTheme="majorHAnsi" w:cstheme="majorHAnsi"/>
          <w:color w:val="000000"/>
        </w:rPr>
      </w:pPr>
      <w:r w:rsidRPr="00347086">
        <w:rPr>
          <w:rFonts w:asciiTheme="majorHAnsi" w:hAnsiTheme="majorHAnsi" w:cstheme="majorHAnsi"/>
          <w:color w:val="000000"/>
        </w:rPr>
        <w:t>Cjelokupna djelatnost Instituta u izvještajnom razdoblju u potpunosti se financirala kroz ovu aktivnost i to iz izvora 52 Ostale pomoći.</w:t>
      </w:r>
    </w:p>
    <w:p w14:paraId="00EED97F" w14:textId="77777777" w:rsidR="008E669D" w:rsidRPr="00347086" w:rsidRDefault="008E669D" w:rsidP="008E669D">
      <w:pPr>
        <w:contextualSpacing/>
        <w:jc w:val="both"/>
        <w:rPr>
          <w:rFonts w:asciiTheme="majorHAnsi" w:hAnsiTheme="majorHAnsi" w:cstheme="majorHAnsi"/>
          <w:color w:val="000000"/>
        </w:rPr>
      </w:pPr>
    </w:p>
    <w:p w14:paraId="661A9209" w14:textId="77777777"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 xml:space="preserve">Ostvarenje ukupnih rashoda Instituta u 2024. godini iznosi 8.999.074,43 eur. Ostvarenje istih prema ekonomskoj klasifikaciji na razini skupina iznosi kako slijedi: rashodi za zaposlene iznose 1.757.540,47 eur, materijalni rashodi iznose 6.963.492,24 eur, financijski rashodi iznose 35,27 eur, rashodi za nabavu neproizvedene dugotrajne imovine iznose 560,39 eur, te rashodi za nabavu proizvedene dugotrajne imovine iznose 277.446,06 eur. </w:t>
      </w:r>
    </w:p>
    <w:p w14:paraId="24614641" w14:textId="77777777" w:rsidR="008E669D" w:rsidRPr="00347086" w:rsidRDefault="008E669D" w:rsidP="008E669D">
      <w:pPr>
        <w:spacing w:before="120"/>
        <w:contextualSpacing/>
        <w:jc w:val="both"/>
        <w:rPr>
          <w:rFonts w:asciiTheme="majorHAnsi" w:hAnsiTheme="majorHAnsi" w:cstheme="majorHAnsi"/>
          <w:color w:val="000000"/>
        </w:rPr>
      </w:pPr>
    </w:p>
    <w:p w14:paraId="42D0E888" w14:textId="77777777" w:rsidR="008E669D" w:rsidRPr="00347086" w:rsidRDefault="008E669D" w:rsidP="008E669D">
      <w:pPr>
        <w:spacing w:before="120"/>
        <w:contextualSpacing/>
        <w:rPr>
          <w:rFonts w:asciiTheme="majorHAnsi" w:hAnsiTheme="majorHAnsi" w:cstheme="majorHAnsi"/>
          <w:color w:val="000000"/>
        </w:rPr>
      </w:pPr>
      <w:r w:rsidRPr="00347086">
        <w:rPr>
          <w:rFonts w:asciiTheme="majorHAnsi" w:hAnsiTheme="majorHAnsi" w:cstheme="majorHAnsi"/>
          <w:color w:val="000000"/>
        </w:rPr>
        <w:t>Slijedom navedenog, rashodi poslovanja planirani su u iznosu od 7.538.000,00 eur, a izvršeni u iznosu od 8.999.074,43 eur odnosno sa 119,38 % planiranih sredstava, odnosno 127,98 % u odnosu na realizirano u 2023. godini.</w:t>
      </w:r>
    </w:p>
    <w:p w14:paraId="637576BB" w14:textId="77777777" w:rsidR="008E669D" w:rsidRPr="00347086" w:rsidRDefault="008E669D" w:rsidP="008E669D">
      <w:pPr>
        <w:pStyle w:val="paragraph"/>
        <w:spacing w:before="0" w:beforeAutospacing="0" w:after="0" w:afterAutospacing="0"/>
        <w:jc w:val="both"/>
        <w:textAlignment w:val="baseline"/>
        <w:rPr>
          <w:rFonts w:asciiTheme="majorHAnsi" w:hAnsiTheme="majorHAnsi" w:cstheme="majorHAnsi"/>
        </w:rPr>
      </w:pPr>
      <w:r w:rsidRPr="00347086">
        <w:rPr>
          <w:rStyle w:val="normaltextrun"/>
          <w:rFonts w:asciiTheme="majorHAnsi" w:hAnsiTheme="majorHAnsi" w:cstheme="majorHAnsi"/>
        </w:rPr>
        <w:t>Financijski plan je izvršen do razine naplaćenih prihoda tekuće godine uključujući prijenos neutrošenih prihoda iz ranijih godina. </w:t>
      </w:r>
      <w:r w:rsidRPr="00347086">
        <w:rPr>
          <w:rStyle w:val="eop"/>
          <w:rFonts w:asciiTheme="majorHAnsi" w:hAnsiTheme="majorHAnsi" w:cstheme="majorHAnsi"/>
        </w:rPr>
        <w:t> </w:t>
      </w:r>
    </w:p>
    <w:p w14:paraId="2C58CF28" w14:textId="77777777" w:rsidR="008E669D" w:rsidRPr="00347086" w:rsidRDefault="008E669D" w:rsidP="008E669D">
      <w:pPr>
        <w:spacing w:before="120"/>
        <w:contextualSpacing/>
        <w:jc w:val="both"/>
        <w:rPr>
          <w:rFonts w:asciiTheme="majorHAnsi" w:hAnsiTheme="majorHAnsi" w:cstheme="majorHAnsi"/>
          <w:color w:val="000000"/>
        </w:rPr>
      </w:pPr>
    </w:p>
    <w:p w14:paraId="66100899" w14:textId="77777777"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 xml:space="preserve">U okviru skupine 31, Rashodi za zaposlene, osim rashoda za plaće zaposlenika ostvareni su i rashodi za darove, nagrade i pomoći u iznosu od 1.757.540,47 eur odnosno 97,58 % plana. </w:t>
      </w:r>
    </w:p>
    <w:p w14:paraId="1026B1F9" w14:textId="77777777"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Institut na dan 31.12.2024. ima 53 zaposlenih odnosno 13 zaposlenika više u odnosu na isto razdoblje prethodne godine. Osim porasta broja zaposlenih na masu rashoda za zaposlenike utjecala je i primjena Uredbe o nazivima radnih mjesta, uvjetima za raspored i koeficijentima za obračun plaće u javnim službama (NN, br. 22/24) počevši od 01. ožujka 2024. godine.</w:t>
      </w:r>
    </w:p>
    <w:p w14:paraId="37864F83" w14:textId="77777777" w:rsidR="008E669D" w:rsidRPr="00347086" w:rsidRDefault="008E669D" w:rsidP="008E669D">
      <w:pPr>
        <w:spacing w:before="120"/>
        <w:contextualSpacing/>
        <w:jc w:val="both"/>
        <w:rPr>
          <w:rFonts w:asciiTheme="majorHAnsi" w:hAnsiTheme="majorHAnsi" w:cstheme="majorHAnsi"/>
          <w:color w:val="000000"/>
        </w:rPr>
      </w:pPr>
    </w:p>
    <w:p w14:paraId="36A514F4" w14:textId="77777777" w:rsidR="008E669D" w:rsidRPr="00347086" w:rsidRDefault="008E669D" w:rsidP="008E669D">
      <w:pPr>
        <w:jc w:val="both"/>
        <w:rPr>
          <w:rFonts w:asciiTheme="majorHAnsi" w:hAnsiTheme="majorHAnsi" w:cstheme="majorHAnsi"/>
          <w:color w:val="000000"/>
          <w:lang w:eastAsia="hr-HR"/>
        </w:rPr>
      </w:pPr>
      <w:r w:rsidRPr="00347086">
        <w:rPr>
          <w:rFonts w:asciiTheme="majorHAnsi" w:hAnsiTheme="majorHAnsi" w:cstheme="majorHAnsi"/>
          <w:color w:val="000000"/>
        </w:rPr>
        <w:t xml:space="preserve">U okviru skupine 32, Materijalni rashodi ostvareni su sa 127,61 % plana odnosno u iznosu od 6.963.492,24 eur, od čega su najznačajniji rashodi ostvareni u okviru podskupine računa 323 Rashodi za usluge u iznosu od </w:t>
      </w:r>
      <w:r w:rsidRPr="00347086">
        <w:rPr>
          <w:rFonts w:asciiTheme="majorHAnsi" w:hAnsiTheme="majorHAnsi" w:cstheme="majorHAnsi"/>
          <w:color w:val="000000"/>
          <w:lang w:eastAsia="hr-HR"/>
        </w:rPr>
        <w:t>6.175.774,39 eur.</w:t>
      </w:r>
    </w:p>
    <w:p w14:paraId="7621AF9A" w14:textId="77777777" w:rsidR="008E669D" w:rsidRPr="00347086" w:rsidRDefault="008E669D" w:rsidP="008E669D">
      <w:pPr>
        <w:spacing w:before="120"/>
        <w:contextualSpacing/>
        <w:jc w:val="both"/>
        <w:rPr>
          <w:rFonts w:asciiTheme="majorHAnsi" w:hAnsiTheme="majorHAnsi" w:cstheme="majorHAnsi"/>
          <w:color w:val="000000"/>
        </w:rPr>
      </w:pPr>
    </w:p>
    <w:p w14:paraId="04CE03C4" w14:textId="77777777" w:rsidR="00842ADD" w:rsidRPr="00347086" w:rsidRDefault="00842ADD" w:rsidP="008E669D">
      <w:pPr>
        <w:spacing w:before="120"/>
        <w:contextualSpacing/>
        <w:jc w:val="both"/>
        <w:rPr>
          <w:rFonts w:asciiTheme="majorHAnsi" w:hAnsiTheme="majorHAnsi" w:cstheme="majorHAnsi"/>
          <w:color w:val="000000"/>
        </w:rPr>
      </w:pPr>
    </w:p>
    <w:p w14:paraId="542C7D35" w14:textId="77777777" w:rsidR="00842ADD" w:rsidRPr="00347086" w:rsidRDefault="00842ADD" w:rsidP="008E669D">
      <w:pPr>
        <w:spacing w:before="120"/>
        <w:contextualSpacing/>
        <w:jc w:val="both"/>
        <w:rPr>
          <w:rFonts w:asciiTheme="majorHAnsi" w:hAnsiTheme="majorHAnsi" w:cstheme="majorHAnsi"/>
          <w:color w:val="000000"/>
        </w:rPr>
      </w:pPr>
    </w:p>
    <w:p w14:paraId="055A946B" w14:textId="6E733105"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lastRenderedPageBreak/>
        <w:t>U okviru podskupine 323 Rashodi za usluge, značajan rashod se odnosi na usluge tekućeg i investicijskog održavanja  koji je ostvaren u iznosu od 373.892,56 eur te čini 93,47 % plana i to za potrebe održavanja različite laboratorijske analitičke opreme, uređaja za pripremu uzoraka, laboratorijskih perilica, uređaja za pripremu čiste i super čiste vode, umjeravanje elektroda, vaga, utega i termometara, održavanje sustava plinske stanice čistih plinova plinske stanice za proizvodnju dušika i sintetskog zraka, održavanje laboratorijskog informacijskog sustava koje uključuje integraciju instrumenata, servis i popravak terenskih vozila, održavanja zgrada, sustava tehničke zaštite, strojarske opreme, neutralizacijske jame, agregata, plinskih instalacija Glavnog laboratorija za vode, službe u Zagrebu i službe u Šibeniku.</w:t>
      </w:r>
    </w:p>
    <w:p w14:paraId="7EFC8EE1" w14:textId="77777777"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Institut provodi dio monitoringa iz Zakona o vodama tako da poslove praćenja stanja voda -monitoring (praćenje kakvoće kopnenih površinskih voda, podzemnih voda te prijelaznih i priobalnih voda) temeljem zahtjeva EU direktiva (Okvirna direktiva o vodama te ostale vodne direktive), provodi djelom kroz aktivnost Glavnog  laboratorija za vode te kroz ugovore sa vanjskim ovlaštenim laboratorijima i znanstvenim institucijama. Upravo potraživanja suradničkih laboratorija i znanstvenih institucija predstavljaju najveći dio troška materijalnih rashoda koji su evidentirani unutar podskupine 323 na Ostalim uslugama i ostvareni su u iznosu od 5.410.196,80 eur odnosno 140,23% planiranih sredstava za 2024. godinu.</w:t>
      </w:r>
    </w:p>
    <w:p w14:paraId="3A024EEA" w14:textId="77777777"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Temeljem prethodno spomenutih ugovora sa suradničkim i znanstvenim institucijama koji pokrivaju cijelo područje Republike Hrvatske provedena su uzorkovanja površinskih, podzemnih te prijelaznih i priobalnih voda te prateće analize uzoraka voda na fizikalno-kemijske, kemijske i mikrobiološke pokazatelje; uzorkovanja, izolacije i determinacije bioloških elemenata kakvoće (makrozoobentos, fitobentos, makrofita, i ribe) te analize identifikacije opasnih tvari u uzorcima sedimenata i biote u površinskim kopnenim vodama.</w:t>
      </w:r>
    </w:p>
    <w:p w14:paraId="059A468C" w14:textId="77777777" w:rsidR="008E669D" w:rsidRPr="00347086" w:rsidRDefault="008E669D" w:rsidP="008E669D">
      <w:pPr>
        <w:spacing w:before="120"/>
        <w:contextualSpacing/>
        <w:jc w:val="both"/>
        <w:rPr>
          <w:rFonts w:asciiTheme="majorHAnsi" w:hAnsiTheme="majorHAnsi" w:cstheme="majorHAnsi"/>
          <w:color w:val="000000"/>
        </w:rPr>
      </w:pPr>
    </w:p>
    <w:p w14:paraId="0A910CAE" w14:textId="77777777" w:rsidR="008E669D" w:rsidRPr="00347086" w:rsidRDefault="008E669D" w:rsidP="008E669D">
      <w:pPr>
        <w:jc w:val="both"/>
        <w:rPr>
          <w:rFonts w:asciiTheme="majorHAnsi" w:hAnsiTheme="majorHAnsi" w:cstheme="majorHAnsi"/>
          <w:color w:val="000000"/>
          <w:lang w:eastAsia="hr-HR"/>
        </w:rPr>
      </w:pPr>
      <w:r w:rsidRPr="00347086">
        <w:rPr>
          <w:rFonts w:asciiTheme="majorHAnsi" w:hAnsiTheme="majorHAnsi" w:cstheme="majorHAnsi"/>
          <w:color w:val="000000"/>
        </w:rPr>
        <w:t xml:space="preserve">U okviru podskupine 322 Rashodi za materijal i energiju ostvareno je </w:t>
      </w:r>
      <w:r w:rsidRPr="00347086">
        <w:rPr>
          <w:rFonts w:asciiTheme="majorHAnsi" w:hAnsiTheme="majorHAnsi" w:cstheme="majorHAnsi"/>
          <w:color w:val="000000"/>
          <w:lang w:eastAsia="hr-HR"/>
        </w:rPr>
        <w:t xml:space="preserve">579.535,29 eur, od čega se najznačajniji rashodi bilježe </w:t>
      </w:r>
      <w:r w:rsidRPr="00347086">
        <w:rPr>
          <w:rFonts w:asciiTheme="majorHAnsi" w:hAnsiTheme="majorHAnsi" w:cstheme="majorHAnsi"/>
          <w:color w:val="000000"/>
        </w:rPr>
        <w:t xml:space="preserve">na rashodima za materijal i dijelove za tekuće i investicijsko održavanje koji su ostvareni u iznosu od 245.784,53 eur za potrebe redovitog rada Glavnog laboratorija za vode (nabavljene su anorganske i organske kemikalije, standardi za plinsku i tekućinsku kromatografiju, otapala kromatografske čistoće, certificirani referentni standardi, tehnički plinovi); energija ostvarena u iznosu od 168.381,94 eur od čega su najznačajniji troškovi opskrba plinom, punjenje spremnika ukapljenim naftnim plinom, dizelsko gorivo za agregat te pogonsko gorivo za službena vozila. </w:t>
      </w:r>
    </w:p>
    <w:p w14:paraId="79A01BF1" w14:textId="77777777" w:rsidR="008E669D" w:rsidRPr="00347086" w:rsidRDefault="008E669D" w:rsidP="008E669D">
      <w:pPr>
        <w:spacing w:before="120"/>
        <w:contextualSpacing/>
        <w:jc w:val="both"/>
        <w:rPr>
          <w:rFonts w:asciiTheme="majorHAnsi" w:hAnsiTheme="majorHAnsi" w:cstheme="majorHAnsi"/>
          <w:color w:val="000000"/>
        </w:rPr>
      </w:pPr>
    </w:p>
    <w:p w14:paraId="0E5CD741" w14:textId="77777777"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U materijalne rashode ulaze i naknade troškova zaposlenika čije izvršenje u izvještajnom razdoblju iznosi 134.483,14 eur koji u odnosu na ostvareno izvršenje 2023. godine za isto izvještajno razdoblje imaju izvršenje 149,43%, a u odnosu na tekući plan 2024. godine 94,04%.</w:t>
      </w:r>
    </w:p>
    <w:p w14:paraId="1ABA7EE7" w14:textId="77777777"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 xml:space="preserve">Navedeni porast troškova prvenstveno se odnosi na povećanje broja zaposlenih, kao i opsega monitoringa Glavnog laboratorija za vode Instituta, odnosno više terenskih izlazaka, te povećanog opsega međunarodne suradnje i posjeta na znanstvenim i stručnim skupovima. </w:t>
      </w:r>
    </w:p>
    <w:p w14:paraId="7FA336C9" w14:textId="77777777" w:rsidR="008E669D" w:rsidRPr="00347086" w:rsidRDefault="008E669D" w:rsidP="008E669D">
      <w:pPr>
        <w:spacing w:before="120"/>
        <w:contextualSpacing/>
        <w:jc w:val="both"/>
        <w:rPr>
          <w:rFonts w:asciiTheme="majorHAnsi" w:hAnsiTheme="majorHAnsi" w:cstheme="majorHAnsi"/>
          <w:color w:val="000000"/>
        </w:rPr>
      </w:pPr>
    </w:p>
    <w:p w14:paraId="28CCBD68" w14:textId="77777777"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U okviru skupine 4, Rashodi za nabavu nefinancijske imovine, isti su izvršeni u iznosu od 278.006,45 eur odnosno 99,25 %  plana za 2024. godinu, a odnose se najvećim dijelom na rashode za nabavu laboratorijske opreme u iznosu od 211.971,94 eur, odnosno nabavu mikroskopa Olympus, uspravnog mikroskopa te automatiziranog sustava za analizu pH, el. vodljivosti, salinitetea, mutnoće, redoks potencijala, alkalitetea i permanganatnog indexa u vodama.</w:t>
      </w:r>
    </w:p>
    <w:p w14:paraId="518AF4A7" w14:textId="77777777"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Kako bi se osigurali  uvjeti za rad Instituta nabavljena su računala i računalna oprema te uredski namještaj u ukupnom iznosu od 58.003,86 eur.</w:t>
      </w:r>
    </w:p>
    <w:p w14:paraId="45AE624C" w14:textId="77777777" w:rsidR="00842ADD" w:rsidRPr="00347086" w:rsidRDefault="00842ADD" w:rsidP="008E669D">
      <w:pPr>
        <w:spacing w:before="120"/>
        <w:contextualSpacing/>
        <w:jc w:val="both"/>
        <w:rPr>
          <w:rFonts w:asciiTheme="majorHAnsi" w:hAnsiTheme="majorHAnsi" w:cstheme="majorHAnsi"/>
          <w:color w:val="000000"/>
        </w:rPr>
      </w:pPr>
    </w:p>
    <w:p w14:paraId="1C733D25" w14:textId="77777777" w:rsidR="00842ADD" w:rsidRPr="00347086" w:rsidRDefault="00842ADD" w:rsidP="008E669D">
      <w:pPr>
        <w:spacing w:before="120"/>
        <w:contextualSpacing/>
        <w:jc w:val="both"/>
        <w:rPr>
          <w:rFonts w:asciiTheme="majorHAnsi" w:hAnsiTheme="majorHAnsi" w:cstheme="majorHAnsi"/>
          <w:color w:val="000000"/>
        </w:rPr>
      </w:pPr>
    </w:p>
    <w:p w14:paraId="148B2868" w14:textId="77777777" w:rsidR="00842ADD" w:rsidRPr="00347086" w:rsidRDefault="00842ADD" w:rsidP="008E669D">
      <w:pPr>
        <w:spacing w:before="120"/>
        <w:contextualSpacing/>
        <w:jc w:val="both"/>
        <w:rPr>
          <w:rFonts w:asciiTheme="majorHAnsi" w:hAnsiTheme="majorHAnsi" w:cstheme="majorHAnsi"/>
          <w:color w:val="000000"/>
        </w:rPr>
      </w:pPr>
    </w:p>
    <w:p w14:paraId="5ED50D70" w14:textId="77777777" w:rsidR="00842ADD" w:rsidRPr="00347086" w:rsidRDefault="00842ADD" w:rsidP="008E669D">
      <w:pPr>
        <w:spacing w:before="120"/>
        <w:contextualSpacing/>
        <w:jc w:val="both"/>
        <w:rPr>
          <w:rFonts w:asciiTheme="majorHAnsi" w:hAnsiTheme="majorHAnsi" w:cstheme="majorHAnsi"/>
          <w:color w:val="000000"/>
        </w:rPr>
      </w:pPr>
    </w:p>
    <w:p w14:paraId="4FF34324" w14:textId="77777777" w:rsidR="00842ADD" w:rsidRPr="00347086" w:rsidRDefault="00842ADD" w:rsidP="008E669D">
      <w:pPr>
        <w:spacing w:before="120"/>
        <w:contextualSpacing/>
        <w:jc w:val="both"/>
        <w:rPr>
          <w:rFonts w:asciiTheme="majorHAnsi" w:hAnsiTheme="majorHAnsi" w:cstheme="majorHAnsi"/>
          <w:color w:val="000000"/>
        </w:rPr>
      </w:pPr>
    </w:p>
    <w:p w14:paraId="2A6C0F53" w14:textId="77777777" w:rsidR="00842ADD" w:rsidRPr="00347086" w:rsidRDefault="00842ADD" w:rsidP="008E669D">
      <w:pPr>
        <w:spacing w:before="120"/>
        <w:contextualSpacing/>
        <w:jc w:val="both"/>
        <w:rPr>
          <w:rFonts w:asciiTheme="majorHAnsi" w:hAnsiTheme="majorHAnsi" w:cstheme="majorHAnsi"/>
          <w:color w:val="000000"/>
        </w:rPr>
      </w:pPr>
    </w:p>
    <w:p w14:paraId="5AD89B82" w14:textId="77777777" w:rsidR="008E669D" w:rsidRPr="00347086" w:rsidRDefault="008E669D" w:rsidP="008E669D">
      <w:pPr>
        <w:spacing w:before="120"/>
        <w:contextualSpacing/>
        <w:jc w:val="both"/>
        <w:rPr>
          <w:rFonts w:asciiTheme="majorHAnsi" w:hAnsiTheme="majorHAnsi" w:cstheme="majorHAnsi"/>
          <w:b/>
          <w:bCs/>
          <w:color w:val="000000"/>
        </w:rPr>
      </w:pPr>
      <w:r w:rsidRPr="00347086">
        <w:rPr>
          <w:rFonts w:asciiTheme="majorHAnsi" w:hAnsiTheme="majorHAnsi" w:cstheme="majorHAnsi"/>
          <w:b/>
          <w:bCs/>
          <w:color w:val="000000"/>
        </w:rPr>
        <w:lastRenderedPageBreak/>
        <w:t xml:space="preserve">POSEBNI IZVJEŠTAJI </w:t>
      </w:r>
    </w:p>
    <w:p w14:paraId="42D2B932" w14:textId="77777777" w:rsidR="008E669D" w:rsidRPr="00347086" w:rsidRDefault="008E669D" w:rsidP="008E669D">
      <w:pPr>
        <w:spacing w:before="120"/>
        <w:contextualSpacing/>
        <w:jc w:val="both"/>
        <w:rPr>
          <w:rFonts w:asciiTheme="majorHAnsi" w:hAnsiTheme="majorHAnsi" w:cstheme="majorHAnsi"/>
          <w:b/>
          <w:bCs/>
          <w:color w:val="000000"/>
        </w:rPr>
      </w:pPr>
    </w:p>
    <w:p w14:paraId="29178D61" w14:textId="77777777" w:rsidR="008E669D" w:rsidRPr="00347086" w:rsidRDefault="008E669D" w:rsidP="008E669D">
      <w:pPr>
        <w:spacing w:before="120"/>
        <w:contextualSpacing/>
        <w:jc w:val="both"/>
        <w:rPr>
          <w:rFonts w:asciiTheme="majorHAnsi" w:hAnsiTheme="majorHAnsi" w:cstheme="majorHAnsi"/>
          <w:color w:val="000000"/>
        </w:rPr>
      </w:pPr>
      <w:r w:rsidRPr="00347086">
        <w:rPr>
          <w:rFonts w:asciiTheme="majorHAnsi" w:hAnsiTheme="majorHAnsi" w:cstheme="majorHAnsi"/>
          <w:color w:val="000000"/>
        </w:rPr>
        <w:t>S obzirom da se Institut u izvještajnom razdoblju nije zaduživao na domaćem i stranom tržištu novca i kapitala, nije koristio sredstava fondova Europske unije, nije davao zajmove i nema potraživanjima po danim zajmovima, nije bilo danih jamstava i plaćanja po protestiranim jamstvima niti potencijalnih obveza po osnovi sudskih sporova, posebni izvještaji iz članka 46. Pravilnika o polugodišnjem i godišnjem izvještaju o izvršenju proračuna i financijskog plana, ne prilažu se uz ovaj Godišnji izvještaj o izvršenju financijskog plana Instituta.</w:t>
      </w:r>
    </w:p>
    <w:p w14:paraId="07979064" w14:textId="77777777" w:rsidR="008E669D" w:rsidRPr="00347086" w:rsidRDefault="008E669D" w:rsidP="008E669D">
      <w:pPr>
        <w:spacing w:before="120"/>
        <w:contextualSpacing/>
        <w:jc w:val="both"/>
        <w:rPr>
          <w:rFonts w:asciiTheme="majorHAnsi" w:hAnsiTheme="majorHAnsi" w:cstheme="majorHAnsi"/>
          <w:color w:val="000000"/>
        </w:rPr>
      </w:pPr>
    </w:p>
    <w:p w14:paraId="5C8B111C" w14:textId="77777777" w:rsidR="008E669D" w:rsidRPr="00347086" w:rsidRDefault="008E669D" w:rsidP="008E669D">
      <w:pPr>
        <w:spacing w:before="120"/>
        <w:contextualSpacing/>
        <w:jc w:val="both"/>
        <w:rPr>
          <w:rFonts w:asciiTheme="majorHAnsi" w:hAnsiTheme="majorHAnsi" w:cstheme="majorHAnsi"/>
          <w:color w:val="000000"/>
        </w:rPr>
      </w:pPr>
    </w:p>
    <w:p w14:paraId="5E1C55A2" w14:textId="77777777" w:rsidR="008E669D" w:rsidRPr="00347086" w:rsidRDefault="008E669D" w:rsidP="008E669D">
      <w:pPr>
        <w:spacing w:before="120"/>
        <w:contextualSpacing/>
        <w:jc w:val="both"/>
        <w:rPr>
          <w:rFonts w:asciiTheme="majorHAnsi" w:hAnsiTheme="majorHAnsi" w:cstheme="majorHAnsi"/>
          <w:b/>
          <w:color w:val="000000"/>
        </w:rPr>
      </w:pPr>
      <w:r w:rsidRPr="00347086">
        <w:rPr>
          <w:rFonts w:asciiTheme="majorHAnsi" w:hAnsiTheme="majorHAnsi" w:cstheme="majorHAnsi"/>
          <w:b/>
          <w:color w:val="000000"/>
        </w:rPr>
        <w:t>STANJE POTRAŽIVANJA I DOSPJELIH OBVEZA</w:t>
      </w:r>
    </w:p>
    <w:p w14:paraId="000E085D" w14:textId="77777777" w:rsidR="008E669D" w:rsidRPr="00347086" w:rsidRDefault="008E669D" w:rsidP="008E669D">
      <w:pPr>
        <w:spacing w:before="120"/>
        <w:contextualSpacing/>
        <w:jc w:val="both"/>
        <w:rPr>
          <w:rFonts w:asciiTheme="majorHAnsi" w:hAnsiTheme="majorHAnsi" w:cstheme="majorHAnsi"/>
          <w:b/>
          <w:color w:val="000000"/>
        </w:rPr>
      </w:pPr>
    </w:p>
    <w:p w14:paraId="35638977" w14:textId="77777777" w:rsidR="008E669D" w:rsidRPr="00347086" w:rsidRDefault="008E669D" w:rsidP="008E669D">
      <w:pPr>
        <w:spacing w:before="120"/>
        <w:contextualSpacing/>
        <w:jc w:val="both"/>
        <w:rPr>
          <w:rFonts w:asciiTheme="majorHAnsi" w:hAnsiTheme="majorHAnsi" w:cstheme="majorHAnsi"/>
          <w:b/>
          <w:color w:val="000000"/>
        </w:rPr>
      </w:pPr>
      <w:r w:rsidRPr="00347086">
        <w:rPr>
          <w:rFonts w:asciiTheme="majorHAnsi" w:hAnsiTheme="majorHAnsi" w:cstheme="majorHAnsi"/>
          <w:b/>
          <w:color w:val="000000"/>
        </w:rPr>
        <w:t>Stanje potraživanja</w:t>
      </w:r>
    </w:p>
    <w:p w14:paraId="469D5E1E" w14:textId="77777777" w:rsidR="008E669D" w:rsidRPr="00347086" w:rsidRDefault="008E669D" w:rsidP="008E669D">
      <w:pPr>
        <w:spacing w:before="120"/>
        <w:contextualSpacing/>
        <w:jc w:val="both"/>
        <w:rPr>
          <w:rFonts w:asciiTheme="majorHAnsi" w:hAnsiTheme="majorHAnsi" w:cstheme="majorHAnsi"/>
          <w:b/>
          <w:color w:val="000000"/>
        </w:rPr>
      </w:pPr>
    </w:p>
    <w:p w14:paraId="1E307BBE" w14:textId="77777777" w:rsidR="008E669D" w:rsidRPr="00347086" w:rsidRDefault="008E669D" w:rsidP="008E669D">
      <w:pPr>
        <w:tabs>
          <w:tab w:val="left" w:pos="8540"/>
        </w:tabs>
        <w:jc w:val="both"/>
        <w:rPr>
          <w:rFonts w:asciiTheme="majorHAnsi" w:hAnsiTheme="majorHAnsi" w:cstheme="majorHAnsi"/>
        </w:rPr>
      </w:pPr>
      <w:r w:rsidRPr="00347086">
        <w:rPr>
          <w:rFonts w:asciiTheme="majorHAnsi" w:hAnsiTheme="majorHAnsi" w:cstheme="majorHAnsi"/>
        </w:rPr>
        <w:t xml:space="preserve">Na skupini računa 12- Depoziti, jamčevni polozi i potraživanja od zaposlenih te za više plaćene poreze i ostalo, iskazana su potraživanja u ukupnom iznosu od 9.909,80, a odnose se na potraživanje od HZZO za bolovanja u iznosu od 9.824,65 eur, te dane avanse u iznosu od 85,15 eur za izvršena plaćanja po kojima do konca godine nisu izvršeni povrati sredstava. </w:t>
      </w:r>
    </w:p>
    <w:p w14:paraId="4507EF81" w14:textId="77777777" w:rsidR="008E669D" w:rsidRPr="00347086" w:rsidRDefault="008E669D" w:rsidP="008E669D">
      <w:pPr>
        <w:tabs>
          <w:tab w:val="left" w:pos="8540"/>
        </w:tabs>
        <w:jc w:val="both"/>
        <w:rPr>
          <w:rFonts w:asciiTheme="majorHAnsi" w:hAnsiTheme="majorHAnsi" w:cstheme="majorHAnsi"/>
        </w:rPr>
      </w:pPr>
      <w:r w:rsidRPr="00347086">
        <w:rPr>
          <w:rFonts w:asciiTheme="majorHAnsi" w:hAnsiTheme="majorHAnsi" w:cstheme="majorHAnsi"/>
        </w:rPr>
        <w:t>Na skupini računa 16 - Potraživanja za prihode poslovanja bilježe se potraživanja za sredstva uplaćena u proračun u iznosu od 510.755,58 eur.</w:t>
      </w:r>
    </w:p>
    <w:p w14:paraId="5C7C0CA4" w14:textId="77777777" w:rsidR="008E669D" w:rsidRPr="00347086" w:rsidRDefault="008E669D" w:rsidP="008E669D">
      <w:pPr>
        <w:tabs>
          <w:tab w:val="left" w:pos="8540"/>
        </w:tabs>
        <w:jc w:val="both"/>
        <w:rPr>
          <w:rFonts w:asciiTheme="majorHAnsi" w:hAnsiTheme="majorHAnsi" w:cstheme="majorHAnsi"/>
        </w:rPr>
      </w:pPr>
    </w:p>
    <w:p w14:paraId="1DFDD52F" w14:textId="77777777" w:rsidR="008E669D" w:rsidRPr="00347086" w:rsidRDefault="008E669D" w:rsidP="008E669D">
      <w:pPr>
        <w:jc w:val="both"/>
        <w:rPr>
          <w:rFonts w:asciiTheme="majorHAnsi" w:hAnsiTheme="majorHAnsi" w:cstheme="majorHAnsi"/>
        </w:rPr>
      </w:pPr>
    </w:p>
    <w:p w14:paraId="2DE82B3D" w14:textId="77777777" w:rsidR="008E669D" w:rsidRPr="00347086" w:rsidRDefault="008E669D" w:rsidP="008E669D">
      <w:pPr>
        <w:spacing w:before="120"/>
        <w:contextualSpacing/>
        <w:jc w:val="both"/>
        <w:rPr>
          <w:rFonts w:asciiTheme="majorHAnsi" w:hAnsiTheme="majorHAnsi" w:cstheme="majorHAnsi"/>
          <w:b/>
          <w:color w:val="000000"/>
        </w:rPr>
      </w:pPr>
      <w:r w:rsidRPr="00347086">
        <w:rPr>
          <w:rFonts w:asciiTheme="majorHAnsi" w:hAnsiTheme="majorHAnsi" w:cstheme="majorHAnsi"/>
          <w:b/>
          <w:color w:val="000000"/>
        </w:rPr>
        <w:t>Stanje dospjelih obveza</w:t>
      </w:r>
    </w:p>
    <w:p w14:paraId="3ECFA1B8" w14:textId="77777777" w:rsidR="008E669D" w:rsidRPr="00347086" w:rsidRDefault="008E669D" w:rsidP="008E669D">
      <w:pPr>
        <w:spacing w:before="120"/>
        <w:contextualSpacing/>
        <w:jc w:val="both"/>
        <w:rPr>
          <w:rFonts w:asciiTheme="majorHAnsi" w:hAnsiTheme="majorHAnsi" w:cstheme="majorHAnsi"/>
          <w:b/>
          <w:color w:val="000000"/>
        </w:rPr>
      </w:pPr>
    </w:p>
    <w:p w14:paraId="3E7BF286" w14:textId="14AF5EB4" w:rsidR="008E669D" w:rsidRPr="00347086" w:rsidRDefault="008E669D" w:rsidP="008E669D">
      <w:pPr>
        <w:jc w:val="both"/>
        <w:rPr>
          <w:rFonts w:asciiTheme="majorHAnsi" w:hAnsiTheme="majorHAnsi" w:cstheme="majorHAnsi"/>
        </w:rPr>
      </w:pPr>
      <w:r w:rsidRPr="00347086">
        <w:rPr>
          <w:rFonts w:asciiTheme="majorHAnsi" w:hAnsiTheme="majorHAnsi" w:cstheme="majorHAnsi"/>
        </w:rPr>
        <w:t>Obveze Instituta na dan 31.12.2024. godine iznose 519.873,85 eur, od čega se iznos od</w:t>
      </w:r>
      <w:r w:rsidRPr="00347086">
        <w:rPr>
          <w:rFonts w:asciiTheme="majorHAnsi" w:hAnsiTheme="majorHAnsi" w:cstheme="majorHAnsi"/>
          <w:color w:val="000000"/>
        </w:rPr>
        <w:t xml:space="preserve"> </w:t>
      </w:r>
      <w:r w:rsidRPr="00347086">
        <w:rPr>
          <w:rFonts w:asciiTheme="majorHAnsi" w:hAnsiTheme="majorHAnsi" w:cstheme="majorHAnsi"/>
        </w:rPr>
        <w:t xml:space="preserve">6.750,07 </w:t>
      </w:r>
      <w:proofErr w:type="spellStart"/>
      <w:r w:rsidRPr="00347086">
        <w:rPr>
          <w:rFonts w:asciiTheme="majorHAnsi" w:hAnsiTheme="majorHAnsi" w:cstheme="majorHAnsi"/>
        </w:rPr>
        <w:t>eur</w:t>
      </w:r>
      <w:proofErr w:type="spellEnd"/>
      <w:r w:rsidRPr="00347086">
        <w:rPr>
          <w:rFonts w:asciiTheme="majorHAnsi" w:hAnsiTheme="majorHAnsi" w:cstheme="majorHAnsi"/>
        </w:rPr>
        <w:t xml:space="preserve"> odnosi na dospjele obveze za materijalne rashode koji su izvršeni u prvom tjednu siječnja 2025. godine. Razlog dospjelosti faktura je kratkotrajni zastoj funkcionala integracije sa Državnom riznicom tijekom prosinca 2024. godine, a obzirom se za integraciju koristi gateway resornog Ministarstva kod kojeg je došlo do promjene aplikativnog certifikata. Preostali iznos od 513.123,78 eur odnosi se na nedospjele obveze.</w:t>
      </w:r>
    </w:p>
    <w:p w14:paraId="3413E0FD" w14:textId="77777777" w:rsidR="008E669D" w:rsidRPr="00347086" w:rsidRDefault="008E669D" w:rsidP="008E669D">
      <w:pPr>
        <w:jc w:val="both"/>
        <w:rPr>
          <w:rFonts w:asciiTheme="majorHAnsi" w:hAnsiTheme="majorHAnsi" w:cstheme="majorHAnsi"/>
          <w:color w:val="000000"/>
        </w:rPr>
      </w:pPr>
      <w:r w:rsidRPr="00347086">
        <w:rPr>
          <w:rFonts w:asciiTheme="majorHAnsi" w:hAnsiTheme="majorHAnsi" w:cstheme="majorHAnsi"/>
          <w:color w:val="000000"/>
        </w:rPr>
        <w:t>Nedospjele obveze uključuju obveze prema zaposlenima, obveze za materijalne i financijske rashode te ostale tekuće obveze.</w:t>
      </w:r>
    </w:p>
    <w:p w14:paraId="79AB095F" w14:textId="77777777" w:rsidR="008E669D" w:rsidRPr="00347086" w:rsidRDefault="008E669D" w:rsidP="008E669D">
      <w:pPr>
        <w:jc w:val="both"/>
        <w:rPr>
          <w:rFonts w:asciiTheme="majorHAnsi" w:hAnsiTheme="majorHAnsi" w:cstheme="majorHAnsi"/>
          <w:color w:val="000000"/>
        </w:rPr>
      </w:pPr>
    </w:p>
    <w:p w14:paraId="31937BF2" w14:textId="77777777" w:rsidR="008E669D" w:rsidRPr="00347086" w:rsidRDefault="008E669D" w:rsidP="008E669D">
      <w:pPr>
        <w:jc w:val="both"/>
        <w:rPr>
          <w:rFonts w:asciiTheme="majorHAnsi" w:hAnsiTheme="majorHAnsi" w:cstheme="majorHAnsi"/>
          <w:color w:val="000000"/>
        </w:rPr>
      </w:pPr>
      <w:r w:rsidRPr="00347086">
        <w:rPr>
          <w:rFonts w:asciiTheme="majorHAnsi" w:hAnsiTheme="majorHAnsi" w:cstheme="majorHAnsi"/>
          <w:color w:val="000000"/>
        </w:rPr>
        <w:t>Institut nema sudskih sporova u tijeku kao ni potencijalnih ugovornih odnosa koji mogu postati obveza.</w:t>
      </w:r>
    </w:p>
    <w:p w14:paraId="0206C544" w14:textId="77777777" w:rsidR="008E669D" w:rsidRPr="00347086" w:rsidRDefault="008E669D" w:rsidP="008E669D">
      <w:pPr>
        <w:rPr>
          <w:rFonts w:asciiTheme="majorHAnsi" w:hAnsiTheme="majorHAnsi" w:cstheme="majorHAnsi"/>
        </w:rPr>
      </w:pPr>
    </w:p>
    <w:p w14:paraId="377262B0" w14:textId="77777777" w:rsidR="008E669D" w:rsidRPr="00347086" w:rsidRDefault="008E669D" w:rsidP="00E64B16">
      <w:pPr>
        <w:tabs>
          <w:tab w:val="left" w:pos="9900"/>
        </w:tabs>
        <w:rPr>
          <w:rFonts w:asciiTheme="majorHAnsi" w:hAnsiTheme="majorHAnsi" w:cstheme="majorHAnsi"/>
        </w:rPr>
      </w:pPr>
    </w:p>
    <w:sectPr w:rsidR="008E669D" w:rsidRPr="00347086" w:rsidSect="00D76CE4">
      <w:footerReference w:type="default" r:id="rId7"/>
      <w:headerReference w:type="first" r:id="rId8"/>
      <w:footerReference w:type="first" r:id="rId9"/>
      <w:pgSz w:w="11900" w:h="16840"/>
      <w:pgMar w:top="990" w:right="985" w:bottom="851" w:left="964" w:header="450" w:footer="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C8A1B" w14:textId="77777777" w:rsidR="00C42F09" w:rsidRDefault="00C42F09" w:rsidP="006B01AA">
      <w:r>
        <w:separator/>
      </w:r>
    </w:p>
  </w:endnote>
  <w:endnote w:type="continuationSeparator" w:id="0">
    <w:p w14:paraId="05838144" w14:textId="77777777" w:rsidR="00C42F09" w:rsidRDefault="00C42F09" w:rsidP="006B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100">
    <w:altName w:val="Calibri"/>
    <w:panose1 w:val="00000000000000000000"/>
    <w:charset w:val="00"/>
    <w:family w:val="modern"/>
    <w:notTrueType/>
    <w:pitch w:val="variable"/>
    <w:sig w:usb0="A00000AF" w:usb1="4000004A" w:usb2="00000000" w:usb3="00000000" w:csb0="00000093"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9D8C" w14:textId="728FF744" w:rsidR="00B42A60" w:rsidRDefault="00B42A60" w:rsidP="00B42A60">
    <w:pPr>
      <w:pStyle w:val="Footer"/>
      <w:tabs>
        <w:tab w:val="clear" w:pos="9072"/>
        <w:tab w:val="right" w:pos="9923"/>
        <w:tab w:val="left" w:pos="10915"/>
      </w:tabs>
      <w:ind w:left="-426"/>
      <w:rPr>
        <w:noProof/>
      </w:rPr>
    </w:pPr>
    <w:r>
      <w:tab/>
    </w:r>
    <w:r>
      <w:tab/>
      <w:t xml:space="preserve">  </w:t>
    </w:r>
    <w:r>
      <w:fldChar w:fldCharType="begin"/>
    </w:r>
    <w:r>
      <w:instrText xml:space="preserve"> PAGE   \* MERGEFORMAT </w:instrText>
    </w:r>
    <w:r>
      <w:fldChar w:fldCharType="separate"/>
    </w:r>
    <w:r>
      <w:rPr>
        <w:noProof/>
      </w:rPr>
      <w:t>1</w:t>
    </w:r>
    <w:r>
      <w:rPr>
        <w:noProof/>
      </w:rPr>
      <w:fldChar w:fldCharType="end"/>
    </w:r>
  </w:p>
  <w:p w14:paraId="2E25B20D" w14:textId="704CC704" w:rsidR="006B01AA" w:rsidRDefault="006B01AA" w:rsidP="00025025">
    <w:pPr>
      <w:pStyle w:val="Footer"/>
      <w:tabs>
        <w:tab w:val="left" w:pos="10915"/>
      </w:tabs>
      <w:ind w:left="-42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FF11A" w14:textId="4C7BE135" w:rsidR="0069748A" w:rsidRDefault="0069748A">
    <w:pPr>
      <w:pStyle w:val="Footer"/>
    </w:pPr>
    <w:r>
      <w:rPr>
        <w:noProof/>
      </w:rPr>
      <w:drawing>
        <wp:inline distT="0" distB="0" distL="0" distR="0" wp14:anchorId="477B98BA" wp14:editId="741623F6">
          <wp:extent cx="6315075" cy="659765"/>
          <wp:effectExtent l="0" t="0" r="9525" b="6985"/>
          <wp:docPr id="953908836" name="Picture 953908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5-29 at 16.08.39.png"/>
                  <pic:cNvPicPr/>
                </pic:nvPicPr>
                <pic:blipFill rotWithShape="1">
                  <a:blip r:embed="rId1">
                    <a:extLst>
                      <a:ext uri="{28A0092B-C50C-407E-A947-70E740481C1C}">
                        <a14:useLocalDpi xmlns:a14="http://schemas.microsoft.com/office/drawing/2010/main" val="0"/>
                      </a:ext>
                    </a:extLst>
                  </a:blip>
                  <a:srcRect l="7290" r="4952" b="11456"/>
                  <a:stretch/>
                </pic:blipFill>
                <pic:spPr bwMode="auto">
                  <a:xfrm>
                    <a:off x="0" y="0"/>
                    <a:ext cx="6319469" cy="66022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90C5B" w14:textId="77777777" w:rsidR="00C42F09" w:rsidRDefault="00C42F09" w:rsidP="006B01AA">
      <w:r>
        <w:separator/>
      </w:r>
    </w:p>
  </w:footnote>
  <w:footnote w:type="continuationSeparator" w:id="0">
    <w:p w14:paraId="31E66A27" w14:textId="77777777" w:rsidR="00C42F09" w:rsidRDefault="00C42F09" w:rsidP="006B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02B54" w14:textId="272B0E9D" w:rsidR="0069748A" w:rsidRDefault="0069748A">
    <w:pPr>
      <w:pStyle w:val="Header"/>
    </w:pPr>
    <w:r>
      <w:rPr>
        <w:noProof/>
      </w:rPr>
      <w:drawing>
        <wp:inline distT="0" distB="0" distL="0" distR="0" wp14:anchorId="39DC541C" wp14:editId="599F205C">
          <wp:extent cx="1352550" cy="1042591"/>
          <wp:effectExtent l="0" t="0" r="0" b="5715"/>
          <wp:docPr id="983036987" name="Picture 1" descr="A logo with blu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84678" name="Picture 1" descr="A logo with blue and green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461" cy="1044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90907"/>
    <w:multiLevelType w:val="multilevel"/>
    <w:tmpl w:val="C28AABA2"/>
    <w:lvl w:ilvl="0">
      <w:start w:val="1"/>
      <w:numFmt w:val="decimal"/>
      <w:lvlText w:val="%1."/>
      <w:lvlJc w:val="left"/>
      <w:pPr>
        <w:ind w:left="900" w:hanging="360"/>
      </w:pPr>
    </w:lvl>
    <w:lvl w:ilvl="1">
      <w:start w:val="1"/>
      <w:numFmt w:val="decimal"/>
      <w:lvlText w:val="%1.%2."/>
      <w:lvlJc w:val="left"/>
      <w:pPr>
        <w:ind w:left="643" w:hanging="360"/>
      </w:pPr>
      <w:rPr>
        <w:rFonts w:asciiTheme="majorHAnsi" w:hAnsiTheme="majorHAnsi" w:cstheme="majorHAnsi" w:hint="default"/>
      </w:rPr>
    </w:lvl>
    <w:lvl w:ilvl="2">
      <w:start w:val="1"/>
      <w:numFmt w:val="decimal"/>
      <w:lvlText w:val="%1.%2.%3."/>
      <w:lvlJc w:val="left"/>
      <w:pPr>
        <w:ind w:left="1004" w:hanging="720"/>
      </w:pPr>
    </w:lvl>
    <w:lvl w:ilvl="3">
      <w:start w:val="1"/>
      <w:numFmt w:val="decimal"/>
      <w:lvlText w:val="%1.%2.%3.%4."/>
      <w:lvlJc w:val="left"/>
      <w:pPr>
        <w:ind w:left="1003" w:hanging="720"/>
      </w:pPr>
    </w:lvl>
    <w:lvl w:ilvl="4">
      <w:start w:val="1"/>
      <w:numFmt w:val="decimal"/>
      <w:lvlText w:val="%1.%2.%3.%4.%5."/>
      <w:lvlJc w:val="left"/>
      <w:pPr>
        <w:ind w:left="1363" w:hanging="1080"/>
      </w:pPr>
    </w:lvl>
    <w:lvl w:ilvl="5">
      <w:start w:val="1"/>
      <w:numFmt w:val="decimal"/>
      <w:lvlText w:val="%1.%2.%3.%4.%5.%6."/>
      <w:lvlJc w:val="left"/>
      <w:pPr>
        <w:ind w:left="1363" w:hanging="1080"/>
      </w:pPr>
    </w:lvl>
    <w:lvl w:ilvl="6">
      <w:start w:val="1"/>
      <w:numFmt w:val="decimal"/>
      <w:lvlText w:val="%1.%2.%3.%4.%5.%6.%7."/>
      <w:lvlJc w:val="left"/>
      <w:pPr>
        <w:ind w:left="1723" w:hanging="1440"/>
      </w:pPr>
    </w:lvl>
    <w:lvl w:ilvl="7">
      <w:start w:val="1"/>
      <w:numFmt w:val="decimal"/>
      <w:lvlText w:val="%1.%2.%3.%4.%5.%6.%7.%8."/>
      <w:lvlJc w:val="left"/>
      <w:pPr>
        <w:ind w:left="1723" w:hanging="1440"/>
      </w:pPr>
    </w:lvl>
    <w:lvl w:ilvl="8">
      <w:start w:val="1"/>
      <w:numFmt w:val="decimal"/>
      <w:lvlText w:val="%1.%2.%3.%4.%5.%6.%7.%8.%9."/>
      <w:lvlJc w:val="left"/>
      <w:pPr>
        <w:ind w:left="2083" w:hanging="1800"/>
      </w:pPr>
    </w:lvl>
  </w:abstractNum>
  <w:abstractNum w:abstractNumId="1" w15:restartNumberingAfterBreak="0">
    <w:nsid w:val="0E093353"/>
    <w:multiLevelType w:val="multilevel"/>
    <w:tmpl w:val="5462CA6A"/>
    <w:lvl w:ilvl="0">
      <w:start w:val="1"/>
      <w:numFmt w:val="decimal"/>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2" w15:restartNumberingAfterBreak="0">
    <w:nsid w:val="17623B24"/>
    <w:multiLevelType w:val="hybridMultilevel"/>
    <w:tmpl w:val="0BA4037E"/>
    <w:lvl w:ilvl="0" w:tplc="F706575C">
      <w:numFmt w:val="bullet"/>
      <w:lvlText w:val="-"/>
      <w:lvlJc w:val="left"/>
      <w:pPr>
        <w:tabs>
          <w:tab w:val="num" w:pos="1440"/>
        </w:tabs>
        <w:ind w:left="144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907674"/>
    <w:multiLevelType w:val="multilevel"/>
    <w:tmpl w:val="1E5ADB10"/>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4" w15:restartNumberingAfterBreak="0">
    <w:nsid w:val="2EF34C6D"/>
    <w:multiLevelType w:val="hybridMultilevel"/>
    <w:tmpl w:val="7F5663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245907"/>
    <w:multiLevelType w:val="hybridMultilevel"/>
    <w:tmpl w:val="3E50D566"/>
    <w:lvl w:ilvl="0" w:tplc="F706575C">
      <w:numFmt w:val="bullet"/>
      <w:lvlText w:val="-"/>
      <w:lvlJc w:val="left"/>
      <w:pPr>
        <w:tabs>
          <w:tab w:val="num" w:pos="1440"/>
        </w:tabs>
        <w:ind w:left="1440" w:hanging="360"/>
      </w:pPr>
      <w:rPr>
        <w:rFonts w:ascii="Arial" w:eastAsia="Times New Roman" w:hAnsi="Aria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06B66"/>
    <w:multiLevelType w:val="multilevel"/>
    <w:tmpl w:val="CE6A4A64"/>
    <w:lvl w:ilvl="0">
      <w:start w:val="1"/>
      <w:numFmt w:val="decimal"/>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7" w15:restartNumberingAfterBreak="0">
    <w:nsid w:val="4CEB0C3D"/>
    <w:multiLevelType w:val="hybridMultilevel"/>
    <w:tmpl w:val="8370F8DA"/>
    <w:lvl w:ilvl="0" w:tplc="041A000F">
      <w:start w:val="1"/>
      <w:numFmt w:val="decimal"/>
      <w:lvlText w:val="%1."/>
      <w:lvlJc w:val="left"/>
      <w:pPr>
        <w:ind w:left="862" w:hanging="360"/>
      </w:p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8" w15:restartNumberingAfterBreak="0">
    <w:nsid w:val="4E4C0899"/>
    <w:multiLevelType w:val="hybridMultilevel"/>
    <w:tmpl w:val="BAFCD3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35C2CB3"/>
    <w:multiLevelType w:val="multilevel"/>
    <w:tmpl w:val="C28AABA2"/>
    <w:lvl w:ilvl="0">
      <w:start w:val="1"/>
      <w:numFmt w:val="decimal"/>
      <w:lvlText w:val="%1."/>
      <w:lvlJc w:val="left"/>
      <w:pPr>
        <w:ind w:left="900" w:hanging="360"/>
      </w:pPr>
    </w:lvl>
    <w:lvl w:ilvl="1">
      <w:start w:val="1"/>
      <w:numFmt w:val="decimal"/>
      <w:lvlText w:val="%1.%2."/>
      <w:lvlJc w:val="left"/>
      <w:pPr>
        <w:ind w:left="643" w:hanging="360"/>
      </w:pPr>
      <w:rPr>
        <w:rFonts w:asciiTheme="majorHAnsi" w:hAnsiTheme="majorHAnsi" w:cstheme="majorHAnsi" w:hint="default"/>
      </w:rPr>
    </w:lvl>
    <w:lvl w:ilvl="2">
      <w:start w:val="1"/>
      <w:numFmt w:val="decimal"/>
      <w:lvlText w:val="%1.%2.%3."/>
      <w:lvlJc w:val="left"/>
      <w:pPr>
        <w:ind w:left="1004" w:hanging="720"/>
      </w:pPr>
    </w:lvl>
    <w:lvl w:ilvl="3">
      <w:start w:val="1"/>
      <w:numFmt w:val="decimal"/>
      <w:lvlText w:val="%1.%2.%3.%4."/>
      <w:lvlJc w:val="left"/>
      <w:pPr>
        <w:ind w:left="1003" w:hanging="720"/>
      </w:pPr>
    </w:lvl>
    <w:lvl w:ilvl="4">
      <w:start w:val="1"/>
      <w:numFmt w:val="decimal"/>
      <w:lvlText w:val="%1.%2.%3.%4.%5."/>
      <w:lvlJc w:val="left"/>
      <w:pPr>
        <w:ind w:left="1363" w:hanging="1080"/>
      </w:pPr>
    </w:lvl>
    <w:lvl w:ilvl="5">
      <w:start w:val="1"/>
      <w:numFmt w:val="decimal"/>
      <w:lvlText w:val="%1.%2.%3.%4.%5.%6."/>
      <w:lvlJc w:val="left"/>
      <w:pPr>
        <w:ind w:left="1363" w:hanging="1080"/>
      </w:pPr>
    </w:lvl>
    <w:lvl w:ilvl="6">
      <w:start w:val="1"/>
      <w:numFmt w:val="decimal"/>
      <w:lvlText w:val="%1.%2.%3.%4.%5.%6.%7."/>
      <w:lvlJc w:val="left"/>
      <w:pPr>
        <w:ind w:left="1723" w:hanging="1440"/>
      </w:pPr>
    </w:lvl>
    <w:lvl w:ilvl="7">
      <w:start w:val="1"/>
      <w:numFmt w:val="decimal"/>
      <w:lvlText w:val="%1.%2.%3.%4.%5.%6.%7.%8."/>
      <w:lvlJc w:val="left"/>
      <w:pPr>
        <w:ind w:left="1723" w:hanging="1440"/>
      </w:pPr>
    </w:lvl>
    <w:lvl w:ilvl="8">
      <w:start w:val="1"/>
      <w:numFmt w:val="decimal"/>
      <w:lvlText w:val="%1.%2.%3.%4.%5.%6.%7.%8.%9."/>
      <w:lvlJc w:val="left"/>
      <w:pPr>
        <w:ind w:left="2083" w:hanging="1800"/>
      </w:pPr>
    </w:lvl>
  </w:abstractNum>
  <w:abstractNum w:abstractNumId="10" w15:restartNumberingAfterBreak="0">
    <w:nsid w:val="541B55C5"/>
    <w:multiLevelType w:val="hybridMultilevel"/>
    <w:tmpl w:val="4CF00BB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5AB06373"/>
    <w:multiLevelType w:val="hybridMultilevel"/>
    <w:tmpl w:val="F26E28C4"/>
    <w:lvl w:ilvl="0" w:tplc="06066C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DAD72A0"/>
    <w:multiLevelType w:val="multilevel"/>
    <w:tmpl w:val="6146351C"/>
    <w:lvl w:ilvl="0">
      <w:start w:val="1"/>
      <w:numFmt w:val="decimal"/>
      <w:lvlText w:val="%1."/>
      <w:lvlJc w:val="left"/>
      <w:pPr>
        <w:ind w:left="1440" w:hanging="360"/>
      </w:pPr>
    </w:lvl>
    <w:lvl w:ilvl="1">
      <w:start w:val="1"/>
      <w:numFmt w:val="lowerLetter"/>
      <w:lvlText w:val="."/>
      <w:lvlJc w:val="left"/>
      <w:pPr>
        <w:ind w:left="2160" w:hanging="360"/>
      </w:pPr>
    </w:lvl>
    <w:lvl w:ilvl="2">
      <w:start w:val="1"/>
      <w:numFmt w:val="lowerRoman"/>
      <w:lvlText w:val="."/>
      <w:lvlJc w:val="right"/>
      <w:pPr>
        <w:ind w:left="2880" w:hanging="180"/>
      </w:pPr>
    </w:lvl>
    <w:lvl w:ilvl="3">
      <w:start w:val="1"/>
      <w:numFmt w:val="decimal"/>
      <w:lvlText w:val="."/>
      <w:lvlJc w:val="left"/>
      <w:pPr>
        <w:ind w:left="3600" w:hanging="360"/>
      </w:pPr>
    </w:lvl>
    <w:lvl w:ilvl="4">
      <w:start w:val="1"/>
      <w:numFmt w:val="lowerLetter"/>
      <w:lvlText w:val="."/>
      <w:lvlJc w:val="left"/>
      <w:pPr>
        <w:ind w:left="4320" w:hanging="360"/>
      </w:pPr>
    </w:lvl>
    <w:lvl w:ilvl="5">
      <w:start w:val="1"/>
      <w:numFmt w:val="lowerRoman"/>
      <w:lvlText w:val="."/>
      <w:lvlJc w:val="right"/>
      <w:pPr>
        <w:ind w:left="5040" w:hanging="180"/>
      </w:pPr>
    </w:lvl>
    <w:lvl w:ilvl="6">
      <w:start w:val="1"/>
      <w:numFmt w:val="decimal"/>
      <w:lvlText w:val="."/>
      <w:lvlJc w:val="left"/>
      <w:pPr>
        <w:ind w:left="5760" w:hanging="360"/>
      </w:pPr>
    </w:lvl>
    <w:lvl w:ilvl="7">
      <w:start w:val="1"/>
      <w:numFmt w:val="lowerLetter"/>
      <w:lvlText w:val="."/>
      <w:lvlJc w:val="left"/>
      <w:pPr>
        <w:ind w:left="6480" w:hanging="360"/>
      </w:pPr>
    </w:lvl>
    <w:lvl w:ilvl="8">
      <w:start w:val="1"/>
      <w:numFmt w:val="lowerRoman"/>
      <w:lvlText w:val="."/>
      <w:lvlJc w:val="right"/>
      <w:pPr>
        <w:ind w:left="7200" w:hanging="180"/>
      </w:pPr>
    </w:lvl>
  </w:abstractNum>
  <w:abstractNum w:abstractNumId="13" w15:restartNumberingAfterBreak="0">
    <w:nsid w:val="5E5D5E7B"/>
    <w:multiLevelType w:val="hybridMultilevel"/>
    <w:tmpl w:val="2300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302285"/>
    <w:multiLevelType w:val="multilevel"/>
    <w:tmpl w:val="C28AABA2"/>
    <w:lvl w:ilvl="0">
      <w:start w:val="1"/>
      <w:numFmt w:val="decimal"/>
      <w:lvlText w:val="%1."/>
      <w:lvlJc w:val="left"/>
      <w:pPr>
        <w:ind w:left="900" w:hanging="360"/>
      </w:pPr>
    </w:lvl>
    <w:lvl w:ilvl="1">
      <w:start w:val="1"/>
      <w:numFmt w:val="decimal"/>
      <w:lvlText w:val="%1.%2."/>
      <w:lvlJc w:val="left"/>
      <w:pPr>
        <w:ind w:left="643" w:hanging="360"/>
      </w:pPr>
      <w:rPr>
        <w:rFonts w:asciiTheme="majorHAnsi" w:hAnsiTheme="majorHAnsi" w:cstheme="majorHAnsi" w:hint="default"/>
      </w:rPr>
    </w:lvl>
    <w:lvl w:ilvl="2">
      <w:start w:val="1"/>
      <w:numFmt w:val="decimal"/>
      <w:lvlText w:val="%1.%2.%3."/>
      <w:lvlJc w:val="left"/>
      <w:pPr>
        <w:ind w:left="1004" w:hanging="720"/>
      </w:pPr>
    </w:lvl>
    <w:lvl w:ilvl="3">
      <w:start w:val="1"/>
      <w:numFmt w:val="decimal"/>
      <w:lvlText w:val="%1.%2.%3.%4."/>
      <w:lvlJc w:val="left"/>
      <w:pPr>
        <w:ind w:left="1003" w:hanging="720"/>
      </w:pPr>
    </w:lvl>
    <w:lvl w:ilvl="4">
      <w:start w:val="1"/>
      <w:numFmt w:val="decimal"/>
      <w:lvlText w:val="%1.%2.%3.%4.%5."/>
      <w:lvlJc w:val="left"/>
      <w:pPr>
        <w:ind w:left="1363" w:hanging="1080"/>
      </w:pPr>
    </w:lvl>
    <w:lvl w:ilvl="5">
      <w:start w:val="1"/>
      <w:numFmt w:val="decimal"/>
      <w:lvlText w:val="%1.%2.%3.%4.%5.%6."/>
      <w:lvlJc w:val="left"/>
      <w:pPr>
        <w:ind w:left="1363" w:hanging="1080"/>
      </w:pPr>
    </w:lvl>
    <w:lvl w:ilvl="6">
      <w:start w:val="1"/>
      <w:numFmt w:val="decimal"/>
      <w:lvlText w:val="%1.%2.%3.%4.%5.%6.%7."/>
      <w:lvlJc w:val="left"/>
      <w:pPr>
        <w:ind w:left="1723" w:hanging="1440"/>
      </w:pPr>
    </w:lvl>
    <w:lvl w:ilvl="7">
      <w:start w:val="1"/>
      <w:numFmt w:val="decimal"/>
      <w:lvlText w:val="%1.%2.%3.%4.%5.%6.%7.%8."/>
      <w:lvlJc w:val="left"/>
      <w:pPr>
        <w:ind w:left="1723" w:hanging="1440"/>
      </w:pPr>
    </w:lvl>
    <w:lvl w:ilvl="8">
      <w:start w:val="1"/>
      <w:numFmt w:val="decimal"/>
      <w:lvlText w:val="%1.%2.%3.%4.%5.%6.%7.%8.%9."/>
      <w:lvlJc w:val="left"/>
      <w:pPr>
        <w:ind w:left="2083" w:hanging="1800"/>
      </w:pPr>
    </w:lvl>
  </w:abstractNum>
  <w:abstractNum w:abstractNumId="15" w15:restartNumberingAfterBreak="0">
    <w:nsid w:val="6D6502D9"/>
    <w:multiLevelType w:val="hybridMultilevel"/>
    <w:tmpl w:val="ECD8C03A"/>
    <w:lvl w:ilvl="0" w:tplc="45F6729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1A92C19"/>
    <w:multiLevelType w:val="hybridMultilevel"/>
    <w:tmpl w:val="020E3260"/>
    <w:lvl w:ilvl="0" w:tplc="4594BC6E">
      <w:numFmt w:val="bullet"/>
      <w:lvlText w:val="•"/>
      <w:lvlJc w:val="left"/>
      <w:pPr>
        <w:ind w:left="1080" w:hanging="720"/>
      </w:pPr>
      <w:rPr>
        <w:rFonts w:ascii="Museo Sans 100" w:eastAsia="Times New Roman" w:hAnsi="Museo Sans 100" w:cs="Times New (W1)"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BBE026E"/>
    <w:multiLevelType w:val="multilevel"/>
    <w:tmpl w:val="C28AABA2"/>
    <w:lvl w:ilvl="0">
      <w:start w:val="1"/>
      <w:numFmt w:val="decimal"/>
      <w:lvlText w:val="%1."/>
      <w:lvlJc w:val="left"/>
      <w:pPr>
        <w:ind w:left="900" w:hanging="360"/>
      </w:pPr>
    </w:lvl>
    <w:lvl w:ilvl="1">
      <w:start w:val="1"/>
      <w:numFmt w:val="decimal"/>
      <w:lvlText w:val="%1.%2."/>
      <w:lvlJc w:val="left"/>
      <w:pPr>
        <w:ind w:left="643" w:hanging="360"/>
      </w:pPr>
      <w:rPr>
        <w:rFonts w:asciiTheme="majorHAnsi" w:hAnsiTheme="majorHAnsi" w:cstheme="majorHAnsi" w:hint="default"/>
      </w:rPr>
    </w:lvl>
    <w:lvl w:ilvl="2">
      <w:start w:val="1"/>
      <w:numFmt w:val="decimal"/>
      <w:lvlText w:val="%1.%2.%3."/>
      <w:lvlJc w:val="left"/>
      <w:pPr>
        <w:ind w:left="1004" w:hanging="720"/>
      </w:pPr>
    </w:lvl>
    <w:lvl w:ilvl="3">
      <w:start w:val="1"/>
      <w:numFmt w:val="decimal"/>
      <w:lvlText w:val="%1.%2.%3.%4."/>
      <w:lvlJc w:val="left"/>
      <w:pPr>
        <w:ind w:left="1003" w:hanging="720"/>
      </w:pPr>
    </w:lvl>
    <w:lvl w:ilvl="4">
      <w:start w:val="1"/>
      <w:numFmt w:val="decimal"/>
      <w:lvlText w:val="%1.%2.%3.%4.%5."/>
      <w:lvlJc w:val="left"/>
      <w:pPr>
        <w:ind w:left="1363" w:hanging="1080"/>
      </w:pPr>
    </w:lvl>
    <w:lvl w:ilvl="5">
      <w:start w:val="1"/>
      <w:numFmt w:val="decimal"/>
      <w:lvlText w:val="%1.%2.%3.%4.%5.%6."/>
      <w:lvlJc w:val="left"/>
      <w:pPr>
        <w:ind w:left="1363" w:hanging="1080"/>
      </w:pPr>
    </w:lvl>
    <w:lvl w:ilvl="6">
      <w:start w:val="1"/>
      <w:numFmt w:val="decimal"/>
      <w:lvlText w:val="%1.%2.%3.%4.%5.%6.%7."/>
      <w:lvlJc w:val="left"/>
      <w:pPr>
        <w:ind w:left="1723" w:hanging="1440"/>
      </w:pPr>
    </w:lvl>
    <w:lvl w:ilvl="7">
      <w:start w:val="1"/>
      <w:numFmt w:val="decimal"/>
      <w:lvlText w:val="%1.%2.%3.%4.%5.%6.%7.%8."/>
      <w:lvlJc w:val="left"/>
      <w:pPr>
        <w:ind w:left="1723" w:hanging="1440"/>
      </w:pPr>
    </w:lvl>
    <w:lvl w:ilvl="8">
      <w:start w:val="1"/>
      <w:numFmt w:val="decimal"/>
      <w:lvlText w:val="%1.%2.%3.%4.%5.%6.%7.%8.%9."/>
      <w:lvlJc w:val="left"/>
      <w:pPr>
        <w:ind w:left="2083" w:hanging="1800"/>
      </w:pPr>
    </w:lvl>
  </w:abstractNum>
  <w:num w:numId="1" w16cid:durableId="860824242">
    <w:abstractNumId w:val="2"/>
  </w:num>
  <w:num w:numId="2" w16cid:durableId="82576232">
    <w:abstractNumId w:val="5"/>
  </w:num>
  <w:num w:numId="3" w16cid:durableId="488441256">
    <w:abstractNumId w:val="16"/>
  </w:num>
  <w:num w:numId="4" w16cid:durableId="1985772969">
    <w:abstractNumId w:val="10"/>
  </w:num>
  <w:num w:numId="5" w16cid:durableId="1518692459">
    <w:abstractNumId w:val="15"/>
  </w:num>
  <w:num w:numId="6" w16cid:durableId="1452161786">
    <w:abstractNumId w:val="7"/>
  </w:num>
  <w:num w:numId="7" w16cid:durableId="1500580343">
    <w:abstractNumId w:val="4"/>
  </w:num>
  <w:num w:numId="8" w16cid:durableId="1172987412">
    <w:abstractNumId w:val="8"/>
  </w:num>
  <w:num w:numId="9" w16cid:durableId="427046425">
    <w:abstractNumId w:val="13"/>
  </w:num>
  <w:num w:numId="10" w16cid:durableId="1213805440">
    <w:abstractNumId w:val="3"/>
  </w:num>
  <w:num w:numId="11" w16cid:durableId="669724327">
    <w:abstractNumId w:val="6"/>
  </w:num>
  <w:num w:numId="12" w16cid:durableId="1816800598">
    <w:abstractNumId w:val="1"/>
  </w:num>
  <w:num w:numId="13" w16cid:durableId="1994218455">
    <w:abstractNumId w:val="12"/>
  </w:num>
  <w:num w:numId="14" w16cid:durableId="1638993009">
    <w:abstractNumId w:val="14"/>
  </w:num>
  <w:num w:numId="15" w16cid:durableId="283462798">
    <w:abstractNumId w:val="9"/>
  </w:num>
  <w:num w:numId="16" w16cid:durableId="1762526168">
    <w:abstractNumId w:val="17"/>
  </w:num>
  <w:num w:numId="17" w16cid:durableId="271741004">
    <w:abstractNumId w:val="0"/>
  </w:num>
  <w:num w:numId="18" w16cid:durableId="420830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1AA"/>
    <w:rsid w:val="0000403C"/>
    <w:rsid w:val="000146EF"/>
    <w:rsid w:val="00025025"/>
    <w:rsid w:val="000272F8"/>
    <w:rsid w:val="000350C3"/>
    <w:rsid w:val="00046B68"/>
    <w:rsid w:val="0006015D"/>
    <w:rsid w:val="00065FD1"/>
    <w:rsid w:val="000806C7"/>
    <w:rsid w:val="000A6EF7"/>
    <w:rsid w:val="000B679A"/>
    <w:rsid w:val="001A5FAA"/>
    <w:rsid w:val="001D6840"/>
    <w:rsid w:val="001E5367"/>
    <w:rsid w:val="00214233"/>
    <w:rsid w:val="00222CD1"/>
    <w:rsid w:val="002307D4"/>
    <w:rsid w:val="00264020"/>
    <w:rsid w:val="00286370"/>
    <w:rsid w:val="002B1DFD"/>
    <w:rsid w:val="0032052E"/>
    <w:rsid w:val="00347086"/>
    <w:rsid w:val="003F3866"/>
    <w:rsid w:val="004241AC"/>
    <w:rsid w:val="00444E42"/>
    <w:rsid w:val="00466399"/>
    <w:rsid w:val="004C07B0"/>
    <w:rsid w:val="004C2C1C"/>
    <w:rsid w:val="00560214"/>
    <w:rsid w:val="0056750F"/>
    <w:rsid w:val="005C2064"/>
    <w:rsid w:val="00633451"/>
    <w:rsid w:val="006702B6"/>
    <w:rsid w:val="0069748A"/>
    <w:rsid w:val="006B01AA"/>
    <w:rsid w:val="006B3861"/>
    <w:rsid w:val="00706841"/>
    <w:rsid w:val="0074048E"/>
    <w:rsid w:val="007519A7"/>
    <w:rsid w:val="00824ECE"/>
    <w:rsid w:val="00842ADD"/>
    <w:rsid w:val="008A6AF2"/>
    <w:rsid w:val="008D5ED2"/>
    <w:rsid w:val="008E669D"/>
    <w:rsid w:val="008F5616"/>
    <w:rsid w:val="009307B1"/>
    <w:rsid w:val="00945AD8"/>
    <w:rsid w:val="009A6E48"/>
    <w:rsid w:val="009B6EA8"/>
    <w:rsid w:val="009D5791"/>
    <w:rsid w:val="009D731C"/>
    <w:rsid w:val="009F0554"/>
    <w:rsid w:val="00A015FB"/>
    <w:rsid w:val="00A41337"/>
    <w:rsid w:val="00A62DDA"/>
    <w:rsid w:val="00AA41FA"/>
    <w:rsid w:val="00AB17EF"/>
    <w:rsid w:val="00AD5D25"/>
    <w:rsid w:val="00AF4E8A"/>
    <w:rsid w:val="00B42A60"/>
    <w:rsid w:val="00B621C5"/>
    <w:rsid w:val="00BA2F1F"/>
    <w:rsid w:val="00BD07C9"/>
    <w:rsid w:val="00C14CB1"/>
    <w:rsid w:val="00C25CB2"/>
    <w:rsid w:val="00C31457"/>
    <w:rsid w:val="00C42F09"/>
    <w:rsid w:val="00C83838"/>
    <w:rsid w:val="00D23B17"/>
    <w:rsid w:val="00D246BB"/>
    <w:rsid w:val="00D76CE4"/>
    <w:rsid w:val="00DB0C03"/>
    <w:rsid w:val="00DB7E4C"/>
    <w:rsid w:val="00DE4D3A"/>
    <w:rsid w:val="00E06E72"/>
    <w:rsid w:val="00E245EC"/>
    <w:rsid w:val="00E3093A"/>
    <w:rsid w:val="00E46AAB"/>
    <w:rsid w:val="00E64B16"/>
    <w:rsid w:val="00E90882"/>
    <w:rsid w:val="00EF28EB"/>
    <w:rsid w:val="00F27E01"/>
    <w:rsid w:val="00F30AB1"/>
    <w:rsid w:val="00F41185"/>
    <w:rsid w:val="00F4555C"/>
    <w:rsid w:val="00F845FA"/>
    <w:rsid w:val="00F9016B"/>
    <w:rsid w:val="00F926A1"/>
    <w:rsid w:val="00F96BFB"/>
    <w:rsid w:val="00FC32D6"/>
    <w:rsid w:val="00FD66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D542D"/>
  <w15:chartTrackingRefBased/>
  <w15:docId w15:val="{3743552E-8EA3-984E-8C13-161E89BA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42A60"/>
    <w:pPr>
      <w:keepNext/>
      <w:keepLines/>
      <w:spacing w:before="360" w:after="80"/>
      <w:jc w:val="both"/>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B42A60"/>
    <w:pPr>
      <w:keepNext/>
      <w:keepLines/>
      <w:spacing w:before="160" w:after="80"/>
      <w:jc w:val="both"/>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1AA"/>
    <w:pPr>
      <w:tabs>
        <w:tab w:val="center" w:pos="4536"/>
        <w:tab w:val="right" w:pos="9072"/>
      </w:tabs>
    </w:pPr>
  </w:style>
  <w:style w:type="character" w:customStyle="1" w:styleId="HeaderChar">
    <w:name w:val="Header Char"/>
    <w:basedOn w:val="DefaultParagraphFont"/>
    <w:link w:val="Header"/>
    <w:uiPriority w:val="99"/>
    <w:rsid w:val="006B01AA"/>
  </w:style>
  <w:style w:type="paragraph" w:styleId="Footer">
    <w:name w:val="footer"/>
    <w:basedOn w:val="Normal"/>
    <w:link w:val="FooterChar"/>
    <w:uiPriority w:val="99"/>
    <w:unhideWhenUsed/>
    <w:rsid w:val="006B01AA"/>
    <w:pPr>
      <w:tabs>
        <w:tab w:val="center" w:pos="4536"/>
        <w:tab w:val="right" w:pos="9072"/>
      </w:tabs>
    </w:pPr>
  </w:style>
  <w:style w:type="character" w:customStyle="1" w:styleId="FooterChar">
    <w:name w:val="Footer Char"/>
    <w:basedOn w:val="DefaultParagraphFont"/>
    <w:link w:val="Footer"/>
    <w:uiPriority w:val="99"/>
    <w:rsid w:val="006B01AA"/>
  </w:style>
  <w:style w:type="character" w:customStyle="1" w:styleId="Heading1Char">
    <w:name w:val="Heading 1 Char"/>
    <w:basedOn w:val="DefaultParagraphFont"/>
    <w:link w:val="Heading1"/>
    <w:rsid w:val="00B42A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B42A6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2A60"/>
    <w:pPr>
      <w:ind w:left="720"/>
      <w:contextualSpacing/>
      <w:jc w:val="both"/>
    </w:pPr>
    <w:rPr>
      <w:rFonts w:ascii="Arial" w:eastAsia="Times New Roman" w:hAnsi="Arial" w:cs="Times New (W1)"/>
    </w:rPr>
  </w:style>
  <w:style w:type="paragraph" w:customStyle="1" w:styleId="Naslov2">
    <w:name w:val="Naslov 2"/>
    <w:basedOn w:val="Normal"/>
    <w:next w:val="Normal"/>
    <w:rsid w:val="0069748A"/>
    <w:pPr>
      <w:keepNext/>
      <w:keepLines/>
      <w:suppressAutoHyphens/>
      <w:autoSpaceDN w:val="0"/>
      <w:spacing w:before="160" w:after="80" w:line="244" w:lineRule="auto"/>
      <w:outlineLvl w:val="1"/>
    </w:pPr>
    <w:rPr>
      <w:rFonts w:ascii="Aptos Display" w:eastAsia="Times New Roman" w:hAnsi="Aptos Display" w:cs="Times New Roman"/>
      <w:color w:val="0F4761"/>
      <w:kern w:val="3"/>
      <w:sz w:val="32"/>
      <w:szCs w:val="32"/>
    </w:rPr>
  </w:style>
  <w:style w:type="paragraph" w:customStyle="1" w:styleId="Naslov3">
    <w:name w:val="Naslov 3"/>
    <w:basedOn w:val="Normal"/>
    <w:next w:val="Normal"/>
    <w:rsid w:val="0069748A"/>
    <w:pPr>
      <w:keepNext/>
      <w:keepLines/>
      <w:suppressAutoHyphens/>
      <w:autoSpaceDN w:val="0"/>
      <w:spacing w:before="160" w:after="80" w:line="244" w:lineRule="auto"/>
      <w:outlineLvl w:val="2"/>
    </w:pPr>
    <w:rPr>
      <w:rFonts w:ascii="Aptos" w:eastAsia="Times New Roman" w:hAnsi="Aptos" w:cs="Times New Roman"/>
      <w:color w:val="0F4761"/>
      <w:kern w:val="3"/>
      <w:sz w:val="28"/>
      <w:szCs w:val="28"/>
    </w:rPr>
  </w:style>
  <w:style w:type="character" w:customStyle="1" w:styleId="Zadanifontodlomka">
    <w:name w:val="Zadani font odlomka"/>
    <w:rsid w:val="0069748A"/>
  </w:style>
  <w:style w:type="paragraph" w:customStyle="1" w:styleId="Odlomakpopisa">
    <w:name w:val="Odlomak popisa"/>
    <w:basedOn w:val="Normal"/>
    <w:rsid w:val="0069748A"/>
    <w:pPr>
      <w:suppressAutoHyphens/>
      <w:autoSpaceDN w:val="0"/>
      <w:spacing w:after="160" w:line="244" w:lineRule="auto"/>
      <w:ind w:left="720"/>
      <w:contextualSpacing/>
    </w:pPr>
    <w:rPr>
      <w:rFonts w:ascii="Aptos" w:eastAsia="Aptos" w:hAnsi="Aptos" w:cs="Times New Roman"/>
      <w:kern w:val="3"/>
      <w:sz w:val="22"/>
      <w:szCs w:val="22"/>
    </w:rPr>
  </w:style>
  <w:style w:type="paragraph" w:customStyle="1" w:styleId="paragraph">
    <w:name w:val="paragraph"/>
    <w:basedOn w:val="Normal"/>
    <w:rsid w:val="008E669D"/>
    <w:pPr>
      <w:spacing w:before="100" w:beforeAutospacing="1" w:after="100" w:afterAutospacing="1"/>
    </w:pPr>
    <w:rPr>
      <w:rFonts w:ascii="Times New Roman" w:eastAsia="Times New Roman" w:hAnsi="Times New Roman" w:cs="Times New Roman"/>
      <w:lang w:eastAsia="hr-HR"/>
    </w:rPr>
  </w:style>
  <w:style w:type="character" w:customStyle="1" w:styleId="normaltextrun">
    <w:name w:val="normaltextrun"/>
    <w:basedOn w:val="DefaultParagraphFont"/>
    <w:rsid w:val="008E669D"/>
  </w:style>
  <w:style w:type="character" w:customStyle="1" w:styleId="eop">
    <w:name w:val="eop"/>
    <w:basedOn w:val="DefaultParagraphFont"/>
    <w:rsid w:val="008E6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1973">
      <w:bodyDiv w:val="1"/>
      <w:marLeft w:val="0"/>
      <w:marRight w:val="0"/>
      <w:marTop w:val="0"/>
      <w:marBottom w:val="0"/>
      <w:divBdr>
        <w:top w:val="none" w:sz="0" w:space="0" w:color="auto"/>
        <w:left w:val="none" w:sz="0" w:space="0" w:color="auto"/>
        <w:bottom w:val="none" w:sz="0" w:space="0" w:color="auto"/>
        <w:right w:val="none" w:sz="0" w:space="0" w:color="auto"/>
      </w:divBdr>
    </w:div>
    <w:div w:id="62417834">
      <w:bodyDiv w:val="1"/>
      <w:marLeft w:val="0"/>
      <w:marRight w:val="0"/>
      <w:marTop w:val="0"/>
      <w:marBottom w:val="0"/>
      <w:divBdr>
        <w:top w:val="none" w:sz="0" w:space="0" w:color="auto"/>
        <w:left w:val="none" w:sz="0" w:space="0" w:color="auto"/>
        <w:bottom w:val="none" w:sz="0" w:space="0" w:color="auto"/>
        <w:right w:val="none" w:sz="0" w:space="0" w:color="auto"/>
      </w:divBdr>
    </w:div>
    <w:div w:id="331564886">
      <w:bodyDiv w:val="1"/>
      <w:marLeft w:val="0"/>
      <w:marRight w:val="0"/>
      <w:marTop w:val="0"/>
      <w:marBottom w:val="0"/>
      <w:divBdr>
        <w:top w:val="none" w:sz="0" w:space="0" w:color="auto"/>
        <w:left w:val="none" w:sz="0" w:space="0" w:color="auto"/>
        <w:bottom w:val="none" w:sz="0" w:space="0" w:color="auto"/>
        <w:right w:val="none" w:sz="0" w:space="0" w:color="auto"/>
      </w:divBdr>
    </w:div>
    <w:div w:id="416251468">
      <w:bodyDiv w:val="1"/>
      <w:marLeft w:val="0"/>
      <w:marRight w:val="0"/>
      <w:marTop w:val="0"/>
      <w:marBottom w:val="0"/>
      <w:divBdr>
        <w:top w:val="none" w:sz="0" w:space="0" w:color="auto"/>
        <w:left w:val="none" w:sz="0" w:space="0" w:color="auto"/>
        <w:bottom w:val="none" w:sz="0" w:space="0" w:color="auto"/>
        <w:right w:val="none" w:sz="0" w:space="0" w:color="auto"/>
      </w:divBdr>
    </w:div>
    <w:div w:id="463279588">
      <w:bodyDiv w:val="1"/>
      <w:marLeft w:val="0"/>
      <w:marRight w:val="0"/>
      <w:marTop w:val="0"/>
      <w:marBottom w:val="0"/>
      <w:divBdr>
        <w:top w:val="none" w:sz="0" w:space="0" w:color="auto"/>
        <w:left w:val="none" w:sz="0" w:space="0" w:color="auto"/>
        <w:bottom w:val="none" w:sz="0" w:space="0" w:color="auto"/>
        <w:right w:val="none" w:sz="0" w:space="0" w:color="auto"/>
      </w:divBdr>
    </w:div>
    <w:div w:id="665127941">
      <w:bodyDiv w:val="1"/>
      <w:marLeft w:val="0"/>
      <w:marRight w:val="0"/>
      <w:marTop w:val="0"/>
      <w:marBottom w:val="0"/>
      <w:divBdr>
        <w:top w:val="none" w:sz="0" w:space="0" w:color="auto"/>
        <w:left w:val="none" w:sz="0" w:space="0" w:color="auto"/>
        <w:bottom w:val="none" w:sz="0" w:space="0" w:color="auto"/>
        <w:right w:val="none" w:sz="0" w:space="0" w:color="auto"/>
      </w:divBdr>
    </w:div>
    <w:div w:id="830100008">
      <w:bodyDiv w:val="1"/>
      <w:marLeft w:val="0"/>
      <w:marRight w:val="0"/>
      <w:marTop w:val="0"/>
      <w:marBottom w:val="0"/>
      <w:divBdr>
        <w:top w:val="none" w:sz="0" w:space="0" w:color="auto"/>
        <w:left w:val="none" w:sz="0" w:space="0" w:color="auto"/>
        <w:bottom w:val="none" w:sz="0" w:space="0" w:color="auto"/>
        <w:right w:val="none" w:sz="0" w:space="0" w:color="auto"/>
      </w:divBdr>
    </w:div>
    <w:div w:id="1367607707">
      <w:bodyDiv w:val="1"/>
      <w:marLeft w:val="0"/>
      <w:marRight w:val="0"/>
      <w:marTop w:val="0"/>
      <w:marBottom w:val="0"/>
      <w:divBdr>
        <w:top w:val="none" w:sz="0" w:space="0" w:color="auto"/>
        <w:left w:val="none" w:sz="0" w:space="0" w:color="auto"/>
        <w:bottom w:val="none" w:sz="0" w:space="0" w:color="auto"/>
        <w:right w:val="none" w:sz="0" w:space="0" w:color="auto"/>
      </w:divBdr>
    </w:div>
    <w:div w:id="1472749694">
      <w:bodyDiv w:val="1"/>
      <w:marLeft w:val="0"/>
      <w:marRight w:val="0"/>
      <w:marTop w:val="0"/>
      <w:marBottom w:val="0"/>
      <w:divBdr>
        <w:top w:val="none" w:sz="0" w:space="0" w:color="auto"/>
        <w:left w:val="none" w:sz="0" w:space="0" w:color="auto"/>
        <w:bottom w:val="none" w:sz="0" w:space="0" w:color="auto"/>
        <w:right w:val="none" w:sz="0" w:space="0" w:color="auto"/>
      </w:divBdr>
    </w:div>
    <w:div w:id="1512182587">
      <w:bodyDiv w:val="1"/>
      <w:marLeft w:val="0"/>
      <w:marRight w:val="0"/>
      <w:marTop w:val="0"/>
      <w:marBottom w:val="0"/>
      <w:divBdr>
        <w:top w:val="none" w:sz="0" w:space="0" w:color="auto"/>
        <w:left w:val="none" w:sz="0" w:space="0" w:color="auto"/>
        <w:bottom w:val="none" w:sz="0" w:space="0" w:color="auto"/>
        <w:right w:val="none" w:sz="0" w:space="0" w:color="auto"/>
      </w:divBdr>
    </w:div>
    <w:div w:id="1530409333">
      <w:bodyDiv w:val="1"/>
      <w:marLeft w:val="0"/>
      <w:marRight w:val="0"/>
      <w:marTop w:val="0"/>
      <w:marBottom w:val="0"/>
      <w:divBdr>
        <w:top w:val="none" w:sz="0" w:space="0" w:color="auto"/>
        <w:left w:val="none" w:sz="0" w:space="0" w:color="auto"/>
        <w:bottom w:val="none" w:sz="0" w:space="0" w:color="auto"/>
        <w:right w:val="none" w:sz="0" w:space="0" w:color="auto"/>
      </w:divBdr>
    </w:div>
    <w:div w:id="21182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Romana Domijan</cp:lastModifiedBy>
  <cp:revision>9</cp:revision>
  <cp:lastPrinted>2025-03-13T15:22:00Z</cp:lastPrinted>
  <dcterms:created xsi:type="dcterms:W3CDTF">2025-01-29T13:52:00Z</dcterms:created>
  <dcterms:modified xsi:type="dcterms:W3CDTF">2025-03-28T09:53:00Z</dcterms:modified>
</cp:coreProperties>
</file>