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CC522" w14:textId="77777777" w:rsidR="009738A2" w:rsidRDefault="002B0A98">
      <w:pPr>
        <w:rPr>
          <w:sz w:val="24"/>
        </w:rPr>
      </w:pPr>
      <w:r>
        <w:rPr>
          <w:sz w:val="24"/>
        </w:rPr>
        <w:t>KLASA: 003-02/24-02/5</w:t>
      </w:r>
    </w:p>
    <w:p w14:paraId="38136119" w14:textId="77777777" w:rsidR="009738A2" w:rsidRDefault="002B0A98">
      <w:pPr>
        <w:rPr>
          <w:sz w:val="24"/>
        </w:rPr>
      </w:pPr>
      <w:r>
        <w:rPr>
          <w:sz w:val="24"/>
        </w:rPr>
        <w:t xml:space="preserve">URBROJ: </w:t>
      </w:r>
      <w:r>
        <w:rPr>
          <w:noProof/>
          <w:sz w:val="24"/>
        </w:rPr>
        <w:t>122-03/2-24-2</w:t>
      </w:r>
    </w:p>
    <w:p w14:paraId="5A80DB51" w14:textId="77777777" w:rsidR="009738A2" w:rsidRDefault="002B0A98">
      <w:pPr>
        <w:rPr>
          <w:i/>
          <w:sz w:val="24"/>
        </w:rPr>
      </w:pPr>
      <w:r>
        <w:rPr>
          <w:noProof/>
          <w:sz w:val="24"/>
        </w:rPr>
        <w:t>Zagreb</w:t>
      </w:r>
      <w:r>
        <w:rPr>
          <w:sz w:val="24"/>
        </w:rPr>
        <w:t xml:space="preserve">, </w:t>
      </w:r>
      <w:r>
        <w:rPr>
          <w:noProof/>
          <w:sz w:val="24"/>
        </w:rPr>
        <w:t xml:space="preserve">27. ožujka </w:t>
      </w:r>
      <w:r>
        <w:rPr>
          <w:sz w:val="24"/>
        </w:rPr>
        <w:t>2024.</w:t>
      </w:r>
    </w:p>
    <w:p w14:paraId="1C6A8719" w14:textId="77777777" w:rsidR="009738A2" w:rsidRDefault="009738A2">
      <w:pPr>
        <w:rPr>
          <w:sz w:val="24"/>
        </w:rPr>
      </w:pPr>
    </w:p>
    <w:p w14:paraId="4252623E" w14:textId="77777777" w:rsidR="009D4543" w:rsidRPr="009D4543" w:rsidRDefault="009D4543" w:rsidP="009D4543">
      <w:pPr>
        <w:tabs>
          <w:tab w:val="left" w:pos="1134"/>
          <w:tab w:val="right" w:pos="7513"/>
        </w:tabs>
        <w:jc w:val="center"/>
        <w:rPr>
          <w:b/>
          <w:color w:val="000000"/>
          <w:sz w:val="26"/>
          <w:szCs w:val="26"/>
        </w:rPr>
      </w:pPr>
      <w:r w:rsidRPr="009D4543">
        <w:rPr>
          <w:b/>
          <w:color w:val="000000"/>
          <w:sz w:val="26"/>
          <w:szCs w:val="26"/>
        </w:rPr>
        <w:t xml:space="preserve">   </w:t>
      </w:r>
      <w:bookmarkStart w:id="0" w:name="_Toc129618872"/>
      <w:r w:rsidRPr="009D4543">
        <w:rPr>
          <w:b/>
          <w:color w:val="000000"/>
          <w:sz w:val="26"/>
          <w:szCs w:val="26"/>
        </w:rPr>
        <w:t xml:space="preserve">OBRAZLOŽENJE GODIŠNJEG IZVJEŠTAJA O IZVRŠENJU FINANCIJSKOG PLANA ZA 2023. </w:t>
      </w:r>
    </w:p>
    <w:p w14:paraId="6D8FB9B7" w14:textId="77777777" w:rsidR="009D4543" w:rsidRPr="009D4543" w:rsidRDefault="009D4543" w:rsidP="009D4543">
      <w:pPr>
        <w:jc w:val="both"/>
        <w:rPr>
          <w:rFonts w:eastAsia="Calibri"/>
          <w:b/>
          <w:bCs/>
          <w:color w:val="000000"/>
          <w:sz w:val="24"/>
          <w:szCs w:val="30"/>
        </w:rPr>
      </w:pPr>
    </w:p>
    <w:p w14:paraId="3DD48F7A" w14:textId="77777777" w:rsidR="009D4543" w:rsidRPr="009D4543" w:rsidRDefault="009D4543" w:rsidP="009D4543">
      <w:pPr>
        <w:jc w:val="both"/>
        <w:rPr>
          <w:rFonts w:eastAsia="Calibri"/>
          <w:b/>
          <w:bCs/>
          <w:color w:val="000000"/>
          <w:sz w:val="24"/>
          <w:szCs w:val="30"/>
        </w:rPr>
      </w:pPr>
    </w:p>
    <w:p w14:paraId="1E9107AD" w14:textId="77777777" w:rsidR="009D4543" w:rsidRPr="009D4543" w:rsidRDefault="009D4543" w:rsidP="009D4543">
      <w:pPr>
        <w:jc w:val="both"/>
        <w:rPr>
          <w:rFonts w:eastAsia="Calibri"/>
          <w:b/>
          <w:bCs/>
          <w:color w:val="000000"/>
          <w:sz w:val="24"/>
          <w:szCs w:val="30"/>
        </w:rPr>
      </w:pPr>
      <w:r w:rsidRPr="009D4543">
        <w:rPr>
          <w:rFonts w:eastAsia="Calibri"/>
          <w:b/>
          <w:bCs/>
          <w:color w:val="000000"/>
          <w:sz w:val="24"/>
          <w:szCs w:val="30"/>
        </w:rPr>
        <w:t>UVODNE NAPOMENE</w:t>
      </w:r>
      <w:bookmarkEnd w:id="0"/>
    </w:p>
    <w:p w14:paraId="3CE02ED8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7F71FABE" w14:textId="77777777" w:rsidR="009D4543" w:rsidRPr="009D4543" w:rsidRDefault="009D4543" w:rsidP="009D4543">
      <w:pPr>
        <w:spacing w:before="120"/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>Zakonom o proračunu (NN 144/21) koji je stupio na snagu 1. siječnja 2022. godine propisan je sadržaj polugodišnjeg i godišnjeg izvještaja o izvršenju financijskog plana proračunskih i izvanproračunskih korisnika. Ministar financija je novim Pravilnikom o polugodišnjem i godišnjem izvještaju o izvršenju proračuna i financijskog plana (NN 85/23)</w:t>
      </w:r>
      <w:r w:rsidRPr="009D4543">
        <w:rPr>
          <w:color w:val="000000"/>
          <w:sz w:val="24"/>
          <w:szCs w:val="21"/>
        </w:rPr>
        <w:t xml:space="preserve"> propisao </w:t>
      </w:r>
      <w:r w:rsidRPr="009D4543">
        <w:rPr>
          <w:rFonts w:eastAsia="Calibri"/>
          <w:color w:val="000000"/>
          <w:sz w:val="24"/>
          <w:szCs w:val="21"/>
        </w:rPr>
        <w:t>izgled, (detaljniji) sadržaj, obveznike primjene, način i rokovi podnošenja, donošenja i objave polugodišnjeg i godišnjeg izvještaja o izvršenju proračuna i financijskog plana. Danom stupanja na snagu ovoga Pravilnika prestaje važiti Pravilnik o polugodišnjem i godišnjem izvještaju o izvršenju proračuna (NN 24/13, 102/17, 1/20 i 147/20), tako da su sljedeći pojmovi dobili novo značenje:</w:t>
      </w:r>
    </w:p>
    <w:p w14:paraId="52AD48E7" w14:textId="77777777" w:rsidR="009D4543" w:rsidRPr="009D4543" w:rsidRDefault="009D4543" w:rsidP="009D4543">
      <w:pPr>
        <w:spacing w:before="120"/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5CD2A5C0" w14:textId="77777777" w:rsidR="009D4543" w:rsidRPr="009D4543" w:rsidRDefault="009D4543" w:rsidP="009D4543">
      <w:pPr>
        <w:spacing w:before="120"/>
        <w:contextualSpacing/>
        <w:jc w:val="both"/>
        <w:rPr>
          <w:rFonts w:eastAsia="Calibri"/>
          <w:i/>
          <w:iCs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>„</w:t>
      </w:r>
      <w:r w:rsidRPr="009D4543">
        <w:rPr>
          <w:rFonts w:eastAsia="Calibri"/>
          <w:i/>
          <w:iCs/>
          <w:color w:val="000000"/>
          <w:sz w:val="24"/>
          <w:szCs w:val="21"/>
        </w:rPr>
        <w:t>3. izvorni plan je prvi proračun odnosno financijski plan usvojen od Hrvatskog sabora odnosno predstavničkog tijela,“</w:t>
      </w:r>
    </w:p>
    <w:p w14:paraId="182D9CCE" w14:textId="77777777" w:rsidR="009D4543" w:rsidRPr="009D4543" w:rsidRDefault="009D4543" w:rsidP="009D4543">
      <w:pPr>
        <w:spacing w:before="120"/>
        <w:contextualSpacing/>
        <w:jc w:val="both"/>
        <w:rPr>
          <w:rFonts w:eastAsia="Calibri"/>
          <w:i/>
          <w:iCs/>
          <w:color w:val="000000"/>
          <w:sz w:val="24"/>
          <w:szCs w:val="21"/>
        </w:rPr>
      </w:pPr>
    </w:p>
    <w:p w14:paraId="28E54D73" w14:textId="77777777" w:rsidR="009D4543" w:rsidRPr="009D4543" w:rsidRDefault="009D4543" w:rsidP="009D4543">
      <w:pPr>
        <w:spacing w:before="120"/>
        <w:contextualSpacing/>
        <w:jc w:val="both"/>
        <w:rPr>
          <w:rFonts w:eastAsia="Calibri"/>
          <w:i/>
          <w:iCs/>
          <w:color w:val="000000"/>
          <w:sz w:val="24"/>
          <w:szCs w:val="21"/>
        </w:rPr>
      </w:pPr>
      <w:r w:rsidRPr="009D4543">
        <w:rPr>
          <w:rFonts w:eastAsia="Calibri"/>
          <w:i/>
          <w:iCs/>
          <w:color w:val="000000"/>
          <w:sz w:val="24"/>
          <w:szCs w:val="21"/>
        </w:rPr>
        <w:t>„6. rebalans su zadnje izmjene i dopune proračuna odnosno financijskog plana usvojenog od strane Hrvatskog sabora odnosno predstavničkog tijela u izvještajnom razdoblju,</w:t>
      </w:r>
    </w:p>
    <w:p w14:paraId="7FD8FA9B" w14:textId="77777777" w:rsidR="009D4543" w:rsidRPr="009D4543" w:rsidRDefault="009D4543" w:rsidP="009D4543">
      <w:pPr>
        <w:spacing w:before="120"/>
        <w:contextualSpacing/>
        <w:jc w:val="both"/>
        <w:rPr>
          <w:rFonts w:eastAsia="Calibri"/>
          <w:i/>
          <w:iCs/>
          <w:color w:val="000000"/>
          <w:sz w:val="24"/>
          <w:szCs w:val="21"/>
        </w:rPr>
      </w:pPr>
    </w:p>
    <w:p w14:paraId="4213179A" w14:textId="77777777" w:rsidR="009D4543" w:rsidRPr="009D4543" w:rsidRDefault="009D4543" w:rsidP="009D4543">
      <w:pPr>
        <w:spacing w:before="120"/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i/>
          <w:iCs/>
          <w:color w:val="000000"/>
          <w:sz w:val="24"/>
          <w:szCs w:val="21"/>
        </w:rPr>
        <w:t>7. tekući plan je proračun odnosno financijski plan odnosno posljednje izmjene i dopune proračuna odnosno financijskog plana s uključenim naknadno izvršenim preraspodjelama u izvještajnom razdoblju</w:t>
      </w:r>
      <w:r w:rsidRPr="009D4543">
        <w:rPr>
          <w:rFonts w:eastAsia="Calibri"/>
          <w:color w:val="000000"/>
          <w:sz w:val="24"/>
          <w:szCs w:val="21"/>
        </w:rPr>
        <w:t>“</w:t>
      </w:r>
    </w:p>
    <w:p w14:paraId="717D3C32" w14:textId="77777777" w:rsidR="009D4543" w:rsidRPr="009D4543" w:rsidRDefault="009D4543" w:rsidP="009D4543">
      <w:pPr>
        <w:spacing w:before="120"/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6C7B2E6A" w14:textId="77777777" w:rsidR="009D4543" w:rsidRPr="009D4543" w:rsidRDefault="009D4543" w:rsidP="009D4543">
      <w:pPr>
        <w:spacing w:before="120"/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 xml:space="preserve">Na web stranici Ministarstva financija dana 28.02.2024. je objavljena je tablica oglednog formata izvještaja o izvršenju </w:t>
      </w:r>
      <w:proofErr w:type="spellStart"/>
      <w:r w:rsidRPr="009D4543">
        <w:rPr>
          <w:rFonts w:eastAsia="Calibri"/>
          <w:color w:val="000000"/>
          <w:sz w:val="24"/>
          <w:szCs w:val="21"/>
        </w:rPr>
        <w:t>PKDP</w:t>
      </w:r>
      <w:proofErr w:type="spellEnd"/>
      <w:r w:rsidRPr="009D4543">
        <w:rPr>
          <w:rFonts w:eastAsia="Calibri"/>
          <w:color w:val="000000"/>
          <w:sz w:val="24"/>
          <w:szCs w:val="21"/>
        </w:rPr>
        <w:t>. S obzirom da Institut za vode nije izvršio preraspodjelu u 2023. godini izvorni plan, rebalans i tekući plan su istovjetni</w:t>
      </w:r>
      <w:r w:rsidRPr="009D4543">
        <w:rPr>
          <w:color w:val="000000"/>
          <w:sz w:val="24"/>
          <w:szCs w:val="21"/>
        </w:rPr>
        <w:t xml:space="preserve"> </w:t>
      </w:r>
      <w:r w:rsidRPr="009D4543">
        <w:rPr>
          <w:rFonts w:eastAsia="Calibri"/>
          <w:color w:val="000000"/>
          <w:sz w:val="24"/>
          <w:szCs w:val="21"/>
        </w:rPr>
        <w:t>tako da se iskazuju u istom stupcu broj 3. akta ovog Izvještaja o izvršenju financijskog plana.</w:t>
      </w:r>
    </w:p>
    <w:p w14:paraId="4CB09A35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2E18CD47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>Ovaj godišnji izvještaj o izvršenju Financijskog plana za 2023. Instituta za vode Josip Juraj Strossmayer (u nastavku: Institut) za 2023. izrađen je sukladno Uputi o primjeni modificiranog novčanog načela u postupku planiranja i izvršavanja državnog proračuna i financijskih planova izvanproračunskih korisnika državnog proračuna.</w:t>
      </w:r>
    </w:p>
    <w:p w14:paraId="0887F776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632D1519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>Temeljem članka 86., stavak 3. Zakona o proračunu proračunski korisnik dužan je upravljačkom tijelu, u skladu s aktima kojima je uređen rad proračunskog korisnika, dostaviti prijedlog godišnjeg izvještaja o izvršenju financijskog plana za proteklo razdoblje na usvajanje do 31. ožujka tekuće proračunske godine.</w:t>
      </w:r>
    </w:p>
    <w:p w14:paraId="538F58DE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3D510EFF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>Vlada Republike Hrvatske na temelju članka 212. stavka 1. Zakona o vodama (NN 66/19, 84/21 i 47/23), je na sjednici održanoj 23. prosinca 2021. donijela Uredbu o osnivanju Instituta za vode »Josip Juraj Strossmayer«.</w:t>
      </w:r>
    </w:p>
    <w:p w14:paraId="69B91803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7CDB20F3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lastRenderedPageBreak/>
        <w:t xml:space="preserve">Trgovački sud u Zagrebu objavljuje upis osnivanje ustanove, u Sudski registar proveden po rješenju pod poslovnim brojem </w:t>
      </w:r>
      <w:proofErr w:type="spellStart"/>
      <w:r w:rsidRPr="009D4543">
        <w:rPr>
          <w:rFonts w:eastAsia="Calibri"/>
          <w:color w:val="000000"/>
          <w:sz w:val="24"/>
          <w:szCs w:val="21"/>
        </w:rPr>
        <w:t>Tt</w:t>
      </w:r>
      <w:proofErr w:type="spellEnd"/>
      <w:r w:rsidRPr="009D4543">
        <w:rPr>
          <w:rFonts w:eastAsia="Calibri"/>
          <w:color w:val="000000"/>
          <w:sz w:val="24"/>
          <w:szCs w:val="21"/>
        </w:rPr>
        <w:t>-22/5339-3 od 21. veljače 2022.</w:t>
      </w:r>
    </w:p>
    <w:p w14:paraId="7D8BFFC3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7EDFD4D8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>Izmjenama i dopunama državnog proračuna (Narodne novine 62/2022) uvršten je kao Organizacijska klasifikacija GLAVA šifra 07780 u okviru Razdjela Ministarstva gospodarstva i održivog razvoja.</w:t>
      </w:r>
    </w:p>
    <w:p w14:paraId="6BF57028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41DC9AF4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 xml:space="preserve">Dana 10.06.2022. Institut je upisan u Registar proračunskih i izvanproračunskih korisnika </w:t>
      </w:r>
      <w:proofErr w:type="spellStart"/>
      <w:r w:rsidRPr="009D4543">
        <w:rPr>
          <w:rFonts w:eastAsia="Calibri"/>
          <w:color w:val="000000"/>
          <w:sz w:val="24"/>
          <w:szCs w:val="21"/>
        </w:rPr>
        <w:t>RKP</w:t>
      </w:r>
      <w:proofErr w:type="spellEnd"/>
      <w:r w:rsidRPr="009D4543">
        <w:rPr>
          <w:rFonts w:eastAsia="Calibri"/>
          <w:color w:val="000000"/>
          <w:sz w:val="24"/>
          <w:szCs w:val="21"/>
        </w:rPr>
        <w:t xml:space="preserve"> broj: 52469.</w:t>
      </w:r>
    </w:p>
    <w:p w14:paraId="47315630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4AC43738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>Financijski plan Instituta za 2023., u okviru Državnog proračuna za 2023. (NN 145/22) sadrži prihode i rashode u iznosu od 9.208.308,00 EUR.</w:t>
      </w:r>
    </w:p>
    <w:p w14:paraId="648739A1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32BAD0F9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>I. Izmjenama i dopunama Državnog proračuna (NN 63/23) ukupno planirani iznos prihoda i rashoda Financijskog plana Instituta za 2023. nije se mijenjao.</w:t>
      </w:r>
    </w:p>
    <w:p w14:paraId="43EFA11F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5B04F2BC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b/>
          <w:bCs/>
          <w:color w:val="000000"/>
          <w:sz w:val="24"/>
          <w:szCs w:val="21"/>
        </w:rPr>
        <w:t>II.</w:t>
      </w:r>
      <w:r w:rsidRPr="009D4543">
        <w:rPr>
          <w:rFonts w:eastAsia="Calibri"/>
          <w:color w:val="000000"/>
          <w:sz w:val="24"/>
          <w:szCs w:val="21"/>
        </w:rPr>
        <w:t xml:space="preserve"> Izmjenama i dopunama Državnog proračuna (NN 129/2023) ukupno planirani iznos prihoda i rashoda Financijskog plana Instituta za 2023. se mijenjao i iznosio je 8.660.400,00 EUR.</w:t>
      </w:r>
    </w:p>
    <w:p w14:paraId="67E0F348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3BE1FAF5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 xml:space="preserve">S obzirom da Institut započeo svoje poslovanje u 2022. godini, dolazi do značajnog odstupanja pri usporedbi izvršenja na dan </w:t>
      </w:r>
      <w:proofErr w:type="spellStart"/>
      <w:r w:rsidRPr="009D4543">
        <w:rPr>
          <w:rFonts w:eastAsia="Calibri"/>
          <w:color w:val="000000"/>
          <w:sz w:val="24"/>
          <w:szCs w:val="21"/>
        </w:rPr>
        <w:t>31.12.2023.g</w:t>
      </w:r>
      <w:proofErr w:type="spellEnd"/>
      <w:r w:rsidRPr="009D4543">
        <w:rPr>
          <w:rFonts w:eastAsia="Calibri"/>
          <w:color w:val="000000"/>
          <w:sz w:val="24"/>
          <w:szCs w:val="21"/>
        </w:rPr>
        <w:t>. u odnosu na isto razdoblje prethodne godine.</w:t>
      </w:r>
    </w:p>
    <w:p w14:paraId="67654EC3" w14:textId="77777777" w:rsidR="009D4543" w:rsidRPr="009D4543" w:rsidRDefault="009D4543" w:rsidP="009D4543">
      <w:pPr>
        <w:contextualSpacing/>
        <w:jc w:val="both"/>
        <w:rPr>
          <w:rFonts w:eastAsia="Calibri"/>
          <w:color w:val="000000"/>
          <w:sz w:val="24"/>
          <w:szCs w:val="21"/>
        </w:rPr>
      </w:pPr>
    </w:p>
    <w:p w14:paraId="348B6CCD" w14:textId="77777777" w:rsidR="009D4543" w:rsidRPr="009D4543" w:rsidRDefault="009D4543" w:rsidP="009D4543">
      <w:pPr>
        <w:contextualSpacing/>
        <w:jc w:val="both"/>
        <w:rPr>
          <w:b/>
          <w:color w:val="000000"/>
          <w:sz w:val="24"/>
          <w:szCs w:val="21"/>
        </w:rPr>
      </w:pPr>
      <w:bookmarkStart w:id="1" w:name="_Toc129618873"/>
      <w:r w:rsidRPr="009D4543">
        <w:rPr>
          <w:b/>
          <w:color w:val="000000"/>
          <w:sz w:val="24"/>
          <w:szCs w:val="21"/>
        </w:rPr>
        <w:t>PRIHODI I RASHODI</w:t>
      </w:r>
    </w:p>
    <w:p w14:paraId="63D9C5C5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</w:p>
    <w:p w14:paraId="3484F37A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Sukladno članku 212. stavak 3. Zakona o vodama (NN 66/19, 84/21 i 47/23) i člankom 14. stavkom 5. Uredbe o osnivanju Instituta za vode „Josip Juraj Strossmayer“ sredstva za financiranje poslovanja Instituta osiguravaju se iz financijskog plana Hrvatskih voda i planirana su na izvoru 52 Ostale pomoći i to u okviru skupine ekonomske klasifikacije </w:t>
      </w:r>
      <w:bookmarkStart w:id="2" w:name="_Hlk141077047"/>
      <w:r w:rsidRPr="009D4543">
        <w:rPr>
          <w:color w:val="000000"/>
          <w:sz w:val="24"/>
          <w:szCs w:val="21"/>
        </w:rPr>
        <w:t xml:space="preserve">Pomoći iz inozemstva i od subjekata unutar općeg proračuna iznosu od </w:t>
      </w:r>
      <w:bookmarkEnd w:id="2"/>
      <w:r w:rsidRPr="009D4543">
        <w:rPr>
          <w:color w:val="000000"/>
          <w:sz w:val="24"/>
          <w:szCs w:val="21"/>
        </w:rPr>
        <w:t xml:space="preserve">8.660.400,00 EUR za 2023. godinu. Isti su ostvareni u prethodno navedenom planiranom iznosu odnosno sa 100 %  planiranih sredstava. </w:t>
      </w:r>
    </w:p>
    <w:p w14:paraId="6B7D7226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</w:p>
    <w:p w14:paraId="46910C0C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Ostvarenje ukupnih rashoda Instituta u 2023. iznosi 7.031.463,60 EUR. S obzirom da su rashodi po ekonomskoj klasifikaciji u Općem dijelu istovjetni rashodima u Posebnom dijelu izvršenja rashoda po programskoj klasifikaciji, obrazloženje rashoda daje se u okviru Posebnog dijela ovog izvještaja.</w:t>
      </w:r>
    </w:p>
    <w:p w14:paraId="45880618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</w:p>
    <w:p w14:paraId="0E5EA97A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</w:p>
    <w:p w14:paraId="6098703B" w14:textId="77777777" w:rsidR="009D4543" w:rsidRPr="009D4543" w:rsidRDefault="009D4543" w:rsidP="009D4543">
      <w:pPr>
        <w:jc w:val="both"/>
        <w:rPr>
          <w:rFonts w:eastAsia="Calibri"/>
          <w:b/>
          <w:bCs/>
          <w:color w:val="000000"/>
          <w:sz w:val="24"/>
          <w:szCs w:val="30"/>
        </w:rPr>
      </w:pPr>
      <w:r w:rsidRPr="009D4543">
        <w:rPr>
          <w:rFonts w:eastAsia="Calibri"/>
          <w:b/>
          <w:bCs/>
          <w:color w:val="000000"/>
          <w:sz w:val="24"/>
          <w:szCs w:val="30"/>
        </w:rPr>
        <w:t>PRIMICI</w:t>
      </w:r>
      <w:bookmarkEnd w:id="1"/>
      <w:r w:rsidRPr="009D4543">
        <w:rPr>
          <w:rFonts w:eastAsia="Calibri"/>
          <w:b/>
          <w:bCs/>
          <w:color w:val="000000"/>
          <w:sz w:val="24"/>
          <w:szCs w:val="30"/>
        </w:rPr>
        <w:t xml:space="preserve"> I IZDACI</w:t>
      </w:r>
    </w:p>
    <w:p w14:paraId="53166924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</w:p>
    <w:p w14:paraId="1DCC5E86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Institut u 2023. godini nije planirao/ostvario primitke od financijske imovine i zaduživanja kao ni izdatke za financijsku imovinu i otplate zajmova tako da obrazloženje Računa financiranja nije primjenjivo.</w:t>
      </w:r>
    </w:p>
    <w:p w14:paraId="4453095B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</w:p>
    <w:p w14:paraId="409AB742" w14:textId="77777777" w:rsidR="009D4543" w:rsidRPr="009D4543" w:rsidRDefault="009D4543" w:rsidP="009D4543">
      <w:pPr>
        <w:jc w:val="both"/>
        <w:rPr>
          <w:rFonts w:eastAsia="Calibri"/>
          <w:b/>
          <w:bCs/>
          <w:color w:val="000000"/>
          <w:sz w:val="24"/>
          <w:szCs w:val="30"/>
        </w:rPr>
      </w:pPr>
      <w:r w:rsidRPr="009D4543">
        <w:rPr>
          <w:rFonts w:eastAsia="Calibri"/>
          <w:b/>
          <w:bCs/>
          <w:color w:val="000000"/>
          <w:sz w:val="24"/>
          <w:szCs w:val="30"/>
        </w:rPr>
        <w:t>PRIJENOS SREDSTAVA IZ PRETHODNE GODINE</w:t>
      </w:r>
    </w:p>
    <w:p w14:paraId="0A753898" w14:textId="77777777" w:rsidR="009D4543" w:rsidRPr="009D4543" w:rsidRDefault="009D4543" w:rsidP="009D4543">
      <w:pPr>
        <w:jc w:val="both"/>
        <w:rPr>
          <w:rFonts w:eastAsia="Calibri"/>
          <w:color w:val="000000"/>
          <w:sz w:val="24"/>
          <w:szCs w:val="21"/>
        </w:rPr>
      </w:pPr>
    </w:p>
    <w:p w14:paraId="4E08DBFC" w14:textId="77777777" w:rsidR="009D4543" w:rsidRPr="009D4543" w:rsidRDefault="009D4543" w:rsidP="009D4543">
      <w:pPr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>Sukladno Zakonu o proračunu i Zakonu o izvršavanju državnog proračuna namjenski prihodi i primici te vlastiti prihodi koji nisu iskorišteni u prethodnoj proračunskoj godini prenose se u proračun tekuće godine na zahtjev proračunskog korisnika.</w:t>
      </w:r>
    </w:p>
    <w:p w14:paraId="44EC384D" w14:textId="77777777" w:rsidR="009D4543" w:rsidRPr="009D4543" w:rsidRDefault="009D4543" w:rsidP="009D4543">
      <w:pPr>
        <w:jc w:val="both"/>
        <w:rPr>
          <w:rFonts w:eastAsia="Calibri"/>
          <w:color w:val="000000"/>
          <w:sz w:val="24"/>
          <w:szCs w:val="21"/>
        </w:rPr>
      </w:pPr>
    </w:p>
    <w:p w14:paraId="3538AF13" w14:textId="77777777" w:rsidR="009D4543" w:rsidRPr="009D4543" w:rsidRDefault="009D4543" w:rsidP="009D4543">
      <w:pPr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>Temeljem članka 14. Zakona o izvršavanju Državnog proračuna Republike Hrvatske za 2023. (NN 145/22), proračunski korisnici dužni su Zahtjev za prijenos neutrošenih prihoda dostaviti Ministarstvu financija kako bi neutrošeni prihodi bili raspoloživi za korištenje.</w:t>
      </w:r>
    </w:p>
    <w:p w14:paraId="5AA14238" w14:textId="77777777" w:rsidR="009D4543" w:rsidRPr="009D4543" w:rsidRDefault="009D4543" w:rsidP="009D4543">
      <w:pPr>
        <w:jc w:val="both"/>
        <w:rPr>
          <w:rFonts w:eastAsia="Calibri"/>
          <w:color w:val="000000"/>
          <w:sz w:val="24"/>
          <w:szCs w:val="21"/>
        </w:rPr>
      </w:pPr>
    </w:p>
    <w:p w14:paraId="777641C5" w14:textId="77777777" w:rsidR="009D4543" w:rsidRPr="009D4543" w:rsidRDefault="009D4543" w:rsidP="009D4543">
      <w:pPr>
        <w:jc w:val="both"/>
        <w:rPr>
          <w:rFonts w:eastAsia="Calibri"/>
          <w:color w:val="000000"/>
          <w:sz w:val="24"/>
          <w:szCs w:val="21"/>
        </w:rPr>
      </w:pPr>
      <w:r w:rsidRPr="009D4543">
        <w:rPr>
          <w:rFonts w:eastAsia="Calibri"/>
          <w:color w:val="000000"/>
          <w:sz w:val="24"/>
          <w:szCs w:val="21"/>
        </w:rPr>
        <w:t>Slijedom navedenog, neutrošeni prihodi Instituta iz 2023. u iznosu od 1.947.367,92 EUR preneseni su u 2024. uključujući neutrošene prihodi Instituta iz 2022. u iznosu od 318.432 EUR koji su preneseni u 2023. i ostaju na raspolaganju u 2024. godini.</w:t>
      </w:r>
    </w:p>
    <w:p w14:paraId="0EC62432" w14:textId="77777777" w:rsidR="009D4543" w:rsidRPr="009D4543" w:rsidRDefault="009D4543" w:rsidP="009D4543">
      <w:pPr>
        <w:jc w:val="both"/>
        <w:rPr>
          <w:rFonts w:eastAsia="Calibri"/>
          <w:b/>
          <w:bCs/>
          <w:color w:val="000000"/>
          <w:sz w:val="30"/>
          <w:szCs w:val="30"/>
        </w:rPr>
      </w:pPr>
    </w:p>
    <w:p w14:paraId="62674EEE" w14:textId="77777777" w:rsidR="009D4543" w:rsidRPr="009D4543" w:rsidRDefault="009D4543" w:rsidP="009D4543">
      <w:pPr>
        <w:spacing w:before="120"/>
        <w:contextualSpacing/>
        <w:jc w:val="both"/>
        <w:rPr>
          <w:b/>
          <w:color w:val="000000"/>
          <w:sz w:val="24"/>
          <w:szCs w:val="21"/>
        </w:rPr>
      </w:pPr>
      <w:r w:rsidRPr="009D4543">
        <w:rPr>
          <w:b/>
          <w:color w:val="000000"/>
          <w:sz w:val="24"/>
          <w:szCs w:val="21"/>
        </w:rPr>
        <w:lastRenderedPageBreak/>
        <w:t>POSEBNI DIO FINANCIJSKOG PLANA</w:t>
      </w:r>
    </w:p>
    <w:p w14:paraId="304BE637" w14:textId="77777777" w:rsidR="009D4543" w:rsidRPr="009D4543" w:rsidRDefault="009D4543" w:rsidP="009D4543">
      <w:pPr>
        <w:spacing w:before="120"/>
        <w:contextualSpacing/>
        <w:jc w:val="both"/>
        <w:rPr>
          <w:b/>
          <w:color w:val="000000"/>
          <w:sz w:val="24"/>
          <w:szCs w:val="21"/>
        </w:rPr>
      </w:pPr>
    </w:p>
    <w:p w14:paraId="6ACB9914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07780 Institut za vode Josip Juraj Strossmayer</w:t>
      </w:r>
    </w:p>
    <w:p w14:paraId="1FBC90F3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Djelatnost Instituta je provedba monitoringa površinskih, uključujući i priobalnih voda te podzemnih voda kao i laboratorijskih poslova, izrada stručnih podloga za izradu strategije upravljanja vodama, plana upravljanja vodnim područjima, plana upravljanja rizicima od poplava i višegodišnjih programa gradnje vodnih građevina, izrada znanstvenih, studijskih i analitičkih podloga za potrebe upravljanja vodama, provedba i drugih znanstvenih istraživanja u području upravljanja vodama, obavljanje poslova izrade znanstvenih i stručnih analiza nacrta zakona i provedbenih propisa, obavljanje poslova međunarodne suradnje u području upravljanja vodama, te priprema i provedba međunarodnih projekata vezanih za upravljanje vodama, obavljanje poslova izrade modela vrednovanja učinkovitosti poslovanja isporučitelja vodnih usluga te izrada izvještaja i analiza o tome, izobrazba državnih službenika te drugih zaposlenika u javnom sektoru i gospodarstvu u području upravljanja vodama, izrada drugih znanstvenih, studijskih i analitičkih podloga, te obavljanje poslova vještačenja u području upravljanja vodama.</w:t>
      </w:r>
    </w:p>
    <w:p w14:paraId="20117759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591C463B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proofErr w:type="spellStart"/>
      <w:r w:rsidRPr="009D4543">
        <w:rPr>
          <w:color w:val="000000"/>
          <w:sz w:val="24"/>
          <w:szCs w:val="21"/>
        </w:rPr>
        <w:t>A937001</w:t>
      </w:r>
      <w:proofErr w:type="spellEnd"/>
      <w:r w:rsidRPr="009D4543">
        <w:rPr>
          <w:color w:val="000000"/>
          <w:sz w:val="24"/>
          <w:szCs w:val="21"/>
        </w:rPr>
        <w:t xml:space="preserve"> ADMINISTRACIJA I UPRAVLJANJE</w:t>
      </w:r>
    </w:p>
    <w:p w14:paraId="2CBF286A" w14:textId="77777777" w:rsidR="009D4543" w:rsidRPr="009D4543" w:rsidRDefault="009D4543" w:rsidP="009D4543">
      <w:pPr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Zakonske i druge pravne osnove:</w:t>
      </w:r>
    </w:p>
    <w:p w14:paraId="3C7E4253" w14:textId="77777777" w:rsidR="009D4543" w:rsidRPr="009D4543" w:rsidRDefault="009D4543" w:rsidP="009D4543">
      <w:pPr>
        <w:numPr>
          <w:ilvl w:val="0"/>
          <w:numId w:val="1"/>
        </w:numPr>
        <w:spacing w:before="120" w:after="200" w:line="288" w:lineRule="auto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Zakon o proračunu</w:t>
      </w:r>
    </w:p>
    <w:p w14:paraId="52C33F7F" w14:textId="77777777" w:rsidR="009D4543" w:rsidRPr="009D4543" w:rsidRDefault="009D4543" w:rsidP="009D4543">
      <w:pPr>
        <w:numPr>
          <w:ilvl w:val="0"/>
          <w:numId w:val="1"/>
        </w:numPr>
        <w:spacing w:before="120" w:after="200" w:line="288" w:lineRule="auto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Zakon o izvršavanju Državnog proračuna Republike Hrvatske za proračunsku godinu</w:t>
      </w:r>
    </w:p>
    <w:p w14:paraId="2767C0B5" w14:textId="77777777" w:rsidR="009D4543" w:rsidRPr="009D4543" w:rsidRDefault="009D4543" w:rsidP="009D4543">
      <w:pPr>
        <w:numPr>
          <w:ilvl w:val="0"/>
          <w:numId w:val="1"/>
        </w:numPr>
        <w:spacing w:before="120" w:after="200" w:line="288" w:lineRule="auto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Zakon o vodama</w:t>
      </w:r>
    </w:p>
    <w:p w14:paraId="5258A3DD" w14:textId="77777777" w:rsidR="009D4543" w:rsidRPr="009D4543" w:rsidRDefault="009D4543" w:rsidP="009D4543">
      <w:pPr>
        <w:numPr>
          <w:ilvl w:val="0"/>
          <w:numId w:val="1"/>
        </w:numPr>
        <w:spacing w:before="120" w:after="200" w:line="288" w:lineRule="auto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Zakon o javnoj nabavi</w:t>
      </w:r>
    </w:p>
    <w:p w14:paraId="2D933366" w14:textId="77777777" w:rsidR="009D4543" w:rsidRPr="009D4543" w:rsidRDefault="009D4543" w:rsidP="009D4543">
      <w:pPr>
        <w:numPr>
          <w:ilvl w:val="0"/>
          <w:numId w:val="1"/>
        </w:numPr>
        <w:spacing w:after="200" w:line="288" w:lineRule="auto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Strategija upravljanja vodama</w:t>
      </w:r>
    </w:p>
    <w:p w14:paraId="032788EE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</w:p>
    <w:p w14:paraId="1EBCC0C5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Cjelokupna djelatnost Instituta za vode Josip Juraj Strossmayer se u izvještajnom razdoblju u potpunosti financirala kroz ovu Aktivnost i to iz izvora 52 Ostale pomoći.</w:t>
      </w:r>
    </w:p>
    <w:p w14:paraId="4A3C02C9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</w:p>
    <w:p w14:paraId="7B43B2DB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Ostvarenje ukupnih rashoda Instituta u 2023. iznosi 7.031.463,60 EUR. Ostvarenje istih prema ekonomskoj klasifikaciji na razini skupine u okviru: rashoda za zaposlene iznosi 1.057.539,01 EUR, materijalnih rashoda iznosi 5.848.598,71 EUR, naknada građanima i kućanstvima na temelju osiguranja i druge naknade u iznosu od 5.484,00 EUR te rashoda za nabavu </w:t>
      </w:r>
      <w:proofErr w:type="spellStart"/>
      <w:r w:rsidRPr="009D4543">
        <w:rPr>
          <w:color w:val="000000"/>
          <w:sz w:val="24"/>
          <w:szCs w:val="21"/>
        </w:rPr>
        <w:t>neproizvedene</w:t>
      </w:r>
      <w:proofErr w:type="spellEnd"/>
      <w:r w:rsidRPr="009D4543">
        <w:rPr>
          <w:color w:val="000000"/>
          <w:sz w:val="24"/>
          <w:szCs w:val="21"/>
        </w:rPr>
        <w:t xml:space="preserve"> dugotrajne imovine u iznosu od 6.056,38 EUR, za nabavu proizvedene dugotrajne imovine iznosi 113.785,50 EUR, </w:t>
      </w:r>
    </w:p>
    <w:p w14:paraId="6F317397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572C67C2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Slijedom navedenog, rashodi poslovanja koji su planirani u iznosu od 8.660.400,00 EUR izvršeni su u iznosu 7.031.463,60 EUR odnosno sa 81,19 % planiranih sredstava. </w:t>
      </w:r>
    </w:p>
    <w:p w14:paraId="5D9559B6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459F8BF6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U okviru skupine 31, Rashodi za zaposlene, osim plaća zaposlenika uključuju i troškove darova i nagrada te su ostvareni u iznosu od 1.057.539,01 EUR odnosno 79,01 % plana. </w:t>
      </w:r>
    </w:p>
    <w:p w14:paraId="14C924FA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Institut na dan 31.12.2023. ima 40 zaposlenih odnosno 4 zaposlenika više u odnosu na isto razdoblje prethodne godine.</w:t>
      </w:r>
    </w:p>
    <w:p w14:paraId="039C3EAD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1C1D1AA3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U okviru skupine 32, Materijalni rashodi ostvareni su sa 83,51 % plana odnosno u iznosu od 5.848.598,71 EUR, od čega su rashodi za materijal i energiju koji su izvršeni u iznosu od 334.804,22 EUR i isti čine 5,72 % izvršenja materijalnih rashoda. </w:t>
      </w:r>
    </w:p>
    <w:p w14:paraId="2393A400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72076418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U navedenim troškovima najznačajniji rashod odnosi se na rashode za energiju koji su ostvareni u iznosu od 178.453,92 EUR za potrebe opskrbe plinom, punjenje spremnika ukapljenim naftnim plinom i dizelsko gorivo za agregat te pogonsko gorivo za terenska odnosno službena vozila.</w:t>
      </w:r>
    </w:p>
    <w:p w14:paraId="2097F398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0068BFE7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Troškovi materijala i sirovina za rad koji su utrošeni u iznosu od 100.097,32 EUR obuhvaćaju troškove za redoviti laboratorijski rad Glavnog laboratorija za vode (nabavljene su anorganske i organske kemikalije, standardi za plinsku i </w:t>
      </w:r>
      <w:proofErr w:type="spellStart"/>
      <w:r w:rsidRPr="009D4543">
        <w:rPr>
          <w:color w:val="000000"/>
          <w:sz w:val="24"/>
          <w:szCs w:val="21"/>
        </w:rPr>
        <w:t>tekućinsku</w:t>
      </w:r>
      <w:proofErr w:type="spellEnd"/>
      <w:r w:rsidRPr="009D4543">
        <w:rPr>
          <w:color w:val="000000"/>
          <w:sz w:val="24"/>
          <w:szCs w:val="21"/>
        </w:rPr>
        <w:t xml:space="preserve"> </w:t>
      </w:r>
      <w:proofErr w:type="spellStart"/>
      <w:r w:rsidRPr="009D4543">
        <w:rPr>
          <w:color w:val="000000"/>
          <w:sz w:val="24"/>
          <w:szCs w:val="21"/>
        </w:rPr>
        <w:t>kromatografiju</w:t>
      </w:r>
      <w:proofErr w:type="spellEnd"/>
      <w:r w:rsidRPr="009D4543">
        <w:rPr>
          <w:color w:val="000000"/>
          <w:sz w:val="24"/>
          <w:szCs w:val="21"/>
        </w:rPr>
        <w:t xml:space="preserve">, otapala </w:t>
      </w:r>
      <w:proofErr w:type="spellStart"/>
      <w:r w:rsidRPr="009D4543">
        <w:rPr>
          <w:color w:val="000000"/>
          <w:sz w:val="24"/>
          <w:szCs w:val="21"/>
        </w:rPr>
        <w:t>kromatografske</w:t>
      </w:r>
      <w:proofErr w:type="spellEnd"/>
      <w:r w:rsidRPr="009D4543">
        <w:rPr>
          <w:color w:val="000000"/>
          <w:sz w:val="24"/>
          <w:szCs w:val="21"/>
        </w:rPr>
        <w:t xml:space="preserve"> čistoće, certificirani referentni standardi, tehnički plinovi).</w:t>
      </w:r>
    </w:p>
    <w:p w14:paraId="4D969E70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26491E42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Ostali troškovi vezani za poslovanje Instituta iznose 56.252,98 EUR. </w:t>
      </w:r>
    </w:p>
    <w:p w14:paraId="5E1A9D98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3E1CC555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U okviru skupine 37, Rashodi za usluge čine 91,96 %  materijalnih rashoda i ostvareni su u iznosu od 5.377.915,84 EUR. </w:t>
      </w:r>
    </w:p>
    <w:p w14:paraId="70CB240B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3C32B5DA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U okviru rashoda za usluge od materijalno značajnih stavki evidentirani su i rashodi za usluge tekućeg i investicijskog održavanja u iznosu 236.238,19 EUR za potrebe održavanja različite laboratorijske analitičke opreme, uređaja za pripremu uzoraka, laboratorijskih perilica, uređaja za pripremu čiste i super čiste vode, umjeravanje elektroda, vaga, utega i termometara, održavanje sustava plinske stanice čistih plinova plinske stanice za proizvodnju dušika i sintetskog zraka, održavanje laboratorijskog informacijskog sustava koje uključuje integraciju instrumenata, servis i popravak terenskih vozila, održavanja zgrada, sustava tehničke zaštite, strojarske opreme, neutralizacijske jame, agregata, plinskih instalacija Glavnog laboratorija za vode, službe u Zagrebu i službe u Šibeniku.</w:t>
      </w:r>
    </w:p>
    <w:p w14:paraId="00774FC7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7C3C4820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Institut provodi dio monitoringa iz Zakona o vodama tako da poslove praćenja stanja voda-monitoring (praćenje kakvoće kopnenih površinskih voda, podzemnih voda te prijelaznih i priobalnih voda) temeljem zahtjeva EU direktiva (Okvirna direktiva o vodama te ostale vodne direktive), provodi djelom kroz aktivnost Glavnog  laboratorija za vode te kroz ugovore sa vanjskim ovlaštenim laboratorijima i znanstvenim institucijama. Upravo potraživanja suradničkih laboratorija i znanstvenih institucija predstavljaju najveći dio troška materijalnih rashoda koji su evidentirani na Ostalim uslugama i ostvareni u iznosu od 4.824.473,50 EUR.</w:t>
      </w:r>
    </w:p>
    <w:p w14:paraId="2FA7F4BB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596467C0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Temeljem prethodno spomenutih ugovora sa suradničkim i znanstvenim institucijama koji pokrivaju cijelo područje Republike Hrvatske provedena su uzorkovanja površinskih, podzemnih te prijelaznih i priobalnih voda te prateće analize uzoraka voda na fizikalno-kemijske, kemijske i mikrobiološke pokazatelje; uzorkovanja, izolacije i determinacije bioloških elemenata kakvoće (</w:t>
      </w:r>
      <w:proofErr w:type="spellStart"/>
      <w:r w:rsidRPr="009D4543">
        <w:rPr>
          <w:color w:val="000000"/>
          <w:sz w:val="24"/>
          <w:szCs w:val="21"/>
        </w:rPr>
        <w:t>makrozoobentos</w:t>
      </w:r>
      <w:proofErr w:type="spellEnd"/>
      <w:r w:rsidRPr="009D4543">
        <w:rPr>
          <w:color w:val="000000"/>
          <w:sz w:val="24"/>
          <w:szCs w:val="21"/>
        </w:rPr>
        <w:t xml:space="preserve">, </w:t>
      </w:r>
      <w:proofErr w:type="spellStart"/>
      <w:r w:rsidRPr="009D4543">
        <w:rPr>
          <w:color w:val="000000"/>
          <w:sz w:val="24"/>
          <w:szCs w:val="21"/>
        </w:rPr>
        <w:t>fitobentos</w:t>
      </w:r>
      <w:proofErr w:type="spellEnd"/>
      <w:r w:rsidRPr="009D4543">
        <w:rPr>
          <w:color w:val="000000"/>
          <w:sz w:val="24"/>
          <w:szCs w:val="21"/>
        </w:rPr>
        <w:t xml:space="preserve">, </w:t>
      </w:r>
      <w:proofErr w:type="spellStart"/>
      <w:r w:rsidRPr="009D4543">
        <w:rPr>
          <w:color w:val="000000"/>
          <w:sz w:val="24"/>
          <w:szCs w:val="21"/>
        </w:rPr>
        <w:t>makrofita</w:t>
      </w:r>
      <w:proofErr w:type="spellEnd"/>
      <w:r w:rsidRPr="009D4543">
        <w:rPr>
          <w:color w:val="000000"/>
          <w:sz w:val="24"/>
          <w:szCs w:val="21"/>
        </w:rPr>
        <w:t xml:space="preserve">, i ribe) te analize identifikacije opasnih tvari u uzorcima sedimenata i </w:t>
      </w:r>
      <w:proofErr w:type="spellStart"/>
      <w:r w:rsidRPr="009D4543">
        <w:rPr>
          <w:color w:val="000000"/>
          <w:sz w:val="24"/>
          <w:szCs w:val="21"/>
        </w:rPr>
        <w:t>biote</w:t>
      </w:r>
      <w:proofErr w:type="spellEnd"/>
      <w:r w:rsidRPr="009D4543">
        <w:rPr>
          <w:color w:val="000000"/>
          <w:sz w:val="24"/>
          <w:szCs w:val="21"/>
        </w:rPr>
        <w:t xml:space="preserve"> na trend postajama površinskih kopnenih voda.</w:t>
      </w:r>
    </w:p>
    <w:p w14:paraId="7BED04F7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4EE47E3A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Sredstva su utrošena i za potrebe </w:t>
      </w:r>
      <w:proofErr w:type="spellStart"/>
      <w:r w:rsidRPr="009D4543">
        <w:rPr>
          <w:color w:val="000000"/>
          <w:sz w:val="24"/>
          <w:szCs w:val="21"/>
        </w:rPr>
        <w:t>međulaboratorijskih</w:t>
      </w:r>
      <w:proofErr w:type="spellEnd"/>
      <w:r w:rsidRPr="009D4543">
        <w:rPr>
          <w:color w:val="000000"/>
          <w:sz w:val="24"/>
          <w:szCs w:val="21"/>
        </w:rPr>
        <w:t xml:space="preserve"> poredbenih ispitivanja. </w:t>
      </w:r>
    </w:p>
    <w:p w14:paraId="2ECB52B6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4930C936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U okviru skupine 37, Naknade građanima i kućanstvima na temelju osiguranja i druge naknade izvršene su u iznosu 5.484,00 EUR i odnose se na troškove financiranja školarina zaposlenika.</w:t>
      </w:r>
    </w:p>
    <w:p w14:paraId="6FA40630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028E5D05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U okviru skupine 4, Rashodi za nabavu nefinancijske imovine izvršeni su u iznosu od 119.841,88 EUR odnosno 38,34 % plana za 2023. godinu. </w:t>
      </w:r>
    </w:p>
    <w:p w14:paraId="2A934CC7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Za potrebe nabave licenci za redovno poslovanje Instituta utrošena su sredstva u iznosu 6.056,38 EUR.</w:t>
      </w:r>
    </w:p>
    <w:p w14:paraId="6FF53E77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2E6A59B6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Početkom 2023. Ured ravnatelja i Sektor općih poslova premješteni su na novu adresu uredovanja iz Vukovarske 220, Zagreb, na Šubićevu 29, Zagreb. Kako bi se osigurali osnovni uvjeti za rad Instituta nabavljena su računala i računalna oprema te uredski namještaj u ukupnom iznosu od 62.749,07 EUR. Nabavljen je </w:t>
      </w:r>
      <w:proofErr w:type="spellStart"/>
      <w:r w:rsidRPr="009D4543">
        <w:rPr>
          <w:color w:val="000000"/>
          <w:sz w:val="24"/>
          <w:szCs w:val="21"/>
        </w:rPr>
        <w:t>spektofotometar</w:t>
      </w:r>
      <w:proofErr w:type="spellEnd"/>
      <w:r w:rsidRPr="009D4543">
        <w:rPr>
          <w:color w:val="000000"/>
          <w:sz w:val="24"/>
          <w:szCs w:val="21"/>
        </w:rPr>
        <w:t xml:space="preserve"> s prethodno programiranim metodama za određivanje cijanida, </w:t>
      </w:r>
      <w:proofErr w:type="spellStart"/>
      <w:r w:rsidRPr="009D4543">
        <w:rPr>
          <w:color w:val="000000"/>
          <w:sz w:val="24"/>
          <w:szCs w:val="21"/>
        </w:rPr>
        <w:t>sulfita</w:t>
      </w:r>
      <w:proofErr w:type="spellEnd"/>
      <w:r w:rsidRPr="009D4543">
        <w:rPr>
          <w:color w:val="000000"/>
          <w:sz w:val="24"/>
          <w:szCs w:val="21"/>
        </w:rPr>
        <w:t xml:space="preserve"> i dr. u iznosu od 5.832,50 EUR, te ostala oprema.</w:t>
      </w:r>
    </w:p>
    <w:p w14:paraId="410065F9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Iznos od 25.000,00 EUR odnosi se na nabavu instrumenta sa </w:t>
      </w:r>
      <w:proofErr w:type="spellStart"/>
      <w:r w:rsidRPr="009D4543">
        <w:rPr>
          <w:color w:val="000000"/>
          <w:sz w:val="24"/>
          <w:szCs w:val="21"/>
        </w:rPr>
        <w:t>plamenoionizacijskim</w:t>
      </w:r>
      <w:proofErr w:type="spellEnd"/>
      <w:r w:rsidRPr="009D4543">
        <w:rPr>
          <w:color w:val="000000"/>
          <w:sz w:val="24"/>
          <w:szCs w:val="21"/>
        </w:rPr>
        <w:t xml:space="preserve"> detektorom za određivanje mineralnih ulja.</w:t>
      </w:r>
    </w:p>
    <w:p w14:paraId="4754C68A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</w:p>
    <w:p w14:paraId="1A51881B" w14:textId="77777777" w:rsidR="009D4543" w:rsidRPr="009D4543" w:rsidRDefault="009D4543" w:rsidP="009D4543">
      <w:pPr>
        <w:contextualSpacing/>
        <w:jc w:val="both"/>
        <w:rPr>
          <w:color w:val="000000"/>
          <w:sz w:val="24"/>
          <w:szCs w:val="21"/>
        </w:rPr>
      </w:pPr>
    </w:p>
    <w:p w14:paraId="44DF43D5" w14:textId="77777777" w:rsidR="009D4543" w:rsidRPr="009D4543" w:rsidRDefault="009D4543" w:rsidP="009D4543">
      <w:pPr>
        <w:spacing w:before="120"/>
        <w:contextualSpacing/>
        <w:jc w:val="both"/>
        <w:rPr>
          <w:b/>
          <w:bCs/>
          <w:color w:val="000000"/>
          <w:sz w:val="24"/>
          <w:szCs w:val="21"/>
        </w:rPr>
      </w:pPr>
      <w:r w:rsidRPr="009D4543">
        <w:rPr>
          <w:b/>
          <w:bCs/>
          <w:color w:val="000000"/>
          <w:sz w:val="24"/>
          <w:szCs w:val="21"/>
        </w:rPr>
        <w:t xml:space="preserve">POSEBNI IZVJEŠTAJI </w:t>
      </w:r>
    </w:p>
    <w:p w14:paraId="443A1BEB" w14:textId="77777777" w:rsidR="009D4543" w:rsidRPr="009D4543" w:rsidRDefault="009D4543" w:rsidP="009D4543">
      <w:pPr>
        <w:spacing w:before="120"/>
        <w:contextualSpacing/>
        <w:jc w:val="both"/>
        <w:rPr>
          <w:b/>
          <w:bCs/>
          <w:color w:val="000000"/>
          <w:sz w:val="24"/>
          <w:szCs w:val="21"/>
        </w:rPr>
      </w:pPr>
    </w:p>
    <w:p w14:paraId="044DE289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S obzirom da se Institut u izvještajnom razdoblju nije zaduživao na domaćem i stranom tržištu novca i kapitala, nije koristio sredstava fondova Europske unije, nije davao zajmove i nema potraživanjima po danim zajmovima, nema potraživanja i dospjelih obveza niti potencijalnih obveza po osnovi sudskih sporova, posebni izvještaji iz članka 46. Pravilnika o polugodišnjem i godišnjem izvještaju o </w:t>
      </w:r>
      <w:r w:rsidRPr="009D4543">
        <w:rPr>
          <w:color w:val="000000"/>
          <w:sz w:val="24"/>
          <w:szCs w:val="21"/>
        </w:rPr>
        <w:lastRenderedPageBreak/>
        <w:t>izvršenju proračuna i financijskog plana, ne prilažu se uz ovaj Polugodišnji izvještaj o izvršenju financijskog plana Instituta.</w:t>
      </w:r>
    </w:p>
    <w:p w14:paraId="3AF86548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665247E1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</w:rPr>
      </w:pPr>
    </w:p>
    <w:p w14:paraId="7D9C82F0" w14:textId="77777777" w:rsidR="009D4543" w:rsidRPr="009D4543" w:rsidRDefault="009D4543" w:rsidP="009D4543">
      <w:pPr>
        <w:spacing w:before="120"/>
        <w:contextualSpacing/>
        <w:jc w:val="both"/>
        <w:rPr>
          <w:b/>
          <w:color w:val="000000"/>
          <w:sz w:val="24"/>
          <w:szCs w:val="21"/>
        </w:rPr>
      </w:pPr>
      <w:r w:rsidRPr="009D4543">
        <w:rPr>
          <w:b/>
          <w:color w:val="000000"/>
          <w:sz w:val="24"/>
          <w:szCs w:val="21"/>
        </w:rPr>
        <w:t>STANJE OBVEZA</w:t>
      </w:r>
    </w:p>
    <w:p w14:paraId="78582938" w14:textId="77777777" w:rsidR="009D4543" w:rsidRPr="009D4543" w:rsidRDefault="009D4543" w:rsidP="009D4543">
      <w:pPr>
        <w:spacing w:before="120"/>
        <w:contextualSpacing/>
        <w:jc w:val="both"/>
        <w:rPr>
          <w:color w:val="000000"/>
          <w:sz w:val="24"/>
          <w:szCs w:val="21"/>
          <w:u w:val="single"/>
        </w:rPr>
      </w:pPr>
    </w:p>
    <w:p w14:paraId="6932493F" w14:textId="77777777" w:rsidR="009D4543" w:rsidRPr="009D4543" w:rsidRDefault="009D4543" w:rsidP="009D4543">
      <w:pPr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>Stanje obveza na kraju izvještajnog razdoblja iznosi 453.752,92 EUR, te su razvrstane u nedospjele obveze.</w:t>
      </w:r>
    </w:p>
    <w:p w14:paraId="4930D220" w14:textId="77777777" w:rsidR="009D4543" w:rsidRPr="009D4543" w:rsidRDefault="009D4543" w:rsidP="009D4543">
      <w:pPr>
        <w:jc w:val="both"/>
        <w:rPr>
          <w:color w:val="000000"/>
          <w:sz w:val="24"/>
          <w:szCs w:val="21"/>
        </w:rPr>
      </w:pPr>
    </w:p>
    <w:p w14:paraId="70F9E01A" w14:textId="77777777" w:rsidR="009D4543" w:rsidRPr="009D4543" w:rsidRDefault="009D4543" w:rsidP="009D4543">
      <w:pPr>
        <w:jc w:val="both"/>
        <w:rPr>
          <w:color w:val="000000"/>
          <w:sz w:val="24"/>
          <w:szCs w:val="21"/>
        </w:rPr>
      </w:pPr>
      <w:r w:rsidRPr="009D4543">
        <w:rPr>
          <w:color w:val="000000"/>
          <w:sz w:val="24"/>
          <w:szCs w:val="21"/>
        </w:rPr>
        <w:t xml:space="preserve">Nedospjele obveze uključuju obveze prema zaposlenima, obveze za PDV po osnovi stečenih usluga iz EU i obveza proračunskih korisnika za povrat u proračun po osnovi obračunatog i isplaćenog bolovanja preko 42 dana za koji se tereti HZZO te ostale obveze za rashode poslovanja. </w:t>
      </w:r>
    </w:p>
    <w:p w14:paraId="3D17346A" w14:textId="77777777" w:rsidR="009D4543" w:rsidRPr="009D4543" w:rsidRDefault="009D4543" w:rsidP="009D4543">
      <w:pPr>
        <w:jc w:val="both"/>
        <w:rPr>
          <w:color w:val="000000"/>
          <w:sz w:val="24"/>
          <w:szCs w:val="21"/>
        </w:rPr>
      </w:pPr>
    </w:p>
    <w:p w14:paraId="3E42A0CC" w14:textId="77777777" w:rsidR="009D4543" w:rsidRPr="009D4543" w:rsidRDefault="009D4543" w:rsidP="009D4543">
      <w:pPr>
        <w:jc w:val="both"/>
        <w:rPr>
          <w:color w:val="000000"/>
          <w:sz w:val="24"/>
          <w:szCs w:val="24"/>
        </w:rPr>
      </w:pPr>
      <w:r w:rsidRPr="009D4543">
        <w:rPr>
          <w:color w:val="000000"/>
          <w:sz w:val="24"/>
          <w:szCs w:val="21"/>
        </w:rPr>
        <w:t>Institut nema sudskih sporova u tijeku kao ni potencijalnih ugovornih odnosa koji mogu postati obveza.</w:t>
      </w:r>
    </w:p>
    <w:p w14:paraId="1D1F873B" w14:textId="77777777" w:rsidR="009D4543" w:rsidRPr="009D4543" w:rsidRDefault="009D4543" w:rsidP="009D4543">
      <w:pPr>
        <w:jc w:val="both"/>
        <w:rPr>
          <w:color w:val="000000"/>
          <w:sz w:val="24"/>
          <w:szCs w:val="24"/>
        </w:rPr>
      </w:pPr>
    </w:p>
    <w:p w14:paraId="5D93A318" w14:textId="77777777" w:rsidR="009D4543" w:rsidRPr="009D4543" w:rsidRDefault="009D4543" w:rsidP="009D4543">
      <w:pPr>
        <w:contextualSpacing/>
        <w:jc w:val="both"/>
        <w:rPr>
          <w:b/>
          <w:color w:val="000000"/>
          <w:sz w:val="24"/>
          <w:szCs w:val="21"/>
          <w:lang w:eastAsia="hr-HR"/>
        </w:rPr>
      </w:pPr>
    </w:p>
    <w:p w14:paraId="5886B173" w14:textId="77777777" w:rsidR="009D4543" w:rsidRDefault="009D4543">
      <w:pPr>
        <w:rPr>
          <w:sz w:val="24"/>
        </w:rPr>
      </w:pPr>
    </w:p>
    <w:p w14:paraId="3DCD874D" w14:textId="77777777" w:rsidR="009738A2" w:rsidRDefault="009738A2">
      <w:pPr>
        <w:rPr>
          <w:sz w:val="24"/>
        </w:rPr>
      </w:pPr>
    </w:p>
    <w:p w14:paraId="10CC57D0" w14:textId="77777777" w:rsidR="009738A2" w:rsidRDefault="009738A2">
      <w:pPr>
        <w:rPr>
          <w:sz w:val="24"/>
        </w:rPr>
      </w:pPr>
    </w:p>
    <w:p w14:paraId="0A517AF1" w14:textId="77777777" w:rsidR="009738A2" w:rsidRDefault="009738A2">
      <w:pPr>
        <w:rPr>
          <w:sz w:val="24"/>
        </w:rPr>
      </w:pPr>
    </w:p>
    <w:p w14:paraId="72E621C0" w14:textId="77777777" w:rsidR="009738A2" w:rsidRDefault="009738A2">
      <w:pPr>
        <w:rPr>
          <w:sz w:val="24"/>
        </w:rPr>
      </w:pPr>
    </w:p>
    <w:p w14:paraId="01A9B76B" w14:textId="77777777" w:rsidR="009738A2" w:rsidRDefault="009738A2">
      <w:pPr>
        <w:rPr>
          <w:sz w:val="24"/>
        </w:rPr>
      </w:pPr>
    </w:p>
    <w:p w14:paraId="66EE304D" w14:textId="77777777" w:rsidR="009738A2" w:rsidRDefault="009738A2">
      <w:pPr>
        <w:rPr>
          <w:sz w:val="24"/>
        </w:rPr>
      </w:pPr>
    </w:p>
    <w:p w14:paraId="5ABFEF29" w14:textId="77777777" w:rsidR="009738A2" w:rsidRDefault="009738A2">
      <w:pPr>
        <w:rPr>
          <w:sz w:val="24"/>
        </w:rPr>
      </w:pPr>
    </w:p>
    <w:p w14:paraId="1046E07F" w14:textId="77777777" w:rsidR="009738A2" w:rsidRDefault="009738A2">
      <w:pPr>
        <w:rPr>
          <w:sz w:val="24"/>
        </w:rPr>
      </w:pPr>
    </w:p>
    <w:p w14:paraId="0A1F317F" w14:textId="77777777" w:rsidR="009738A2" w:rsidRDefault="009738A2">
      <w:pPr>
        <w:rPr>
          <w:sz w:val="24"/>
        </w:rPr>
      </w:pPr>
    </w:p>
    <w:p w14:paraId="69BA81F1" w14:textId="77777777" w:rsidR="009738A2" w:rsidRDefault="009738A2">
      <w:pPr>
        <w:rPr>
          <w:sz w:val="24"/>
        </w:rPr>
      </w:pPr>
    </w:p>
    <w:p w14:paraId="3317EC38" w14:textId="77777777" w:rsidR="009738A2" w:rsidRDefault="009738A2">
      <w:pPr>
        <w:rPr>
          <w:sz w:val="24"/>
        </w:rPr>
      </w:pPr>
    </w:p>
    <w:p w14:paraId="37CDE8E0" w14:textId="77777777" w:rsidR="009738A2" w:rsidRDefault="009738A2">
      <w:pPr>
        <w:rPr>
          <w:sz w:val="24"/>
        </w:rPr>
      </w:pPr>
    </w:p>
    <w:p w14:paraId="716BAC9E" w14:textId="77777777" w:rsidR="009738A2" w:rsidRDefault="009738A2">
      <w:pPr>
        <w:rPr>
          <w:sz w:val="24"/>
        </w:rPr>
      </w:pPr>
    </w:p>
    <w:p w14:paraId="4ACA2208" w14:textId="77777777" w:rsidR="009738A2" w:rsidRDefault="009738A2">
      <w:pPr>
        <w:rPr>
          <w:sz w:val="24"/>
        </w:rPr>
      </w:pPr>
    </w:p>
    <w:p w14:paraId="478877D4" w14:textId="77777777" w:rsidR="009738A2" w:rsidRDefault="009738A2">
      <w:pPr>
        <w:rPr>
          <w:sz w:val="24"/>
        </w:rPr>
      </w:pPr>
    </w:p>
    <w:sectPr w:rsidR="009738A2">
      <w:headerReference w:type="default" r:id="rId7"/>
      <w:footerReference w:type="default" r:id="rId8"/>
      <w:headerReference w:type="first" r:id="rId9"/>
      <w:pgSz w:w="11906" w:h="16838"/>
      <w:pgMar w:top="340" w:right="794" w:bottom="567" w:left="1418" w:header="567" w:footer="5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3DD77" w14:textId="77777777" w:rsidR="00CC6314" w:rsidRDefault="00CC6314">
      <w:r>
        <w:separator/>
      </w:r>
    </w:p>
  </w:endnote>
  <w:endnote w:type="continuationSeparator" w:id="0">
    <w:p w14:paraId="14DF77F2" w14:textId="77777777" w:rsidR="00CC6314" w:rsidRDefault="00CC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679D" w14:textId="77777777" w:rsidR="009738A2" w:rsidRDefault="009738A2">
    <w:pPr>
      <w:pStyle w:val="Podnoje"/>
    </w:pPr>
    <w:bookmarkStart w:id="3" w:name="barcode_image1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0C116" w14:textId="77777777" w:rsidR="00CC6314" w:rsidRDefault="00CC6314">
      <w:r>
        <w:separator/>
      </w:r>
    </w:p>
  </w:footnote>
  <w:footnote w:type="continuationSeparator" w:id="0">
    <w:p w14:paraId="2F3A2E34" w14:textId="77777777" w:rsidR="00CC6314" w:rsidRDefault="00CC6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A62C" w14:textId="77777777" w:rsidR="009738A2" w:rsidRDefault="009738A2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83" w:type="dxa"/>
      <w:tblInd w:w="-709" w:type="dxa"/>
      <w:tblLook w:val="01E0" w:firstRow="1" w:lastRow="1" w:firstColumn="1" w:lastColumn="1" w:noHBand="0" w:noVBand="0"/>
    </w:tblPr>
    <w:tblGrid>
      <w:gridCol w:w="4939"/>
      <w:gridCol w:w="2736"/>
      <w:gridCol w:w="3108"/>
    </w:tblGrid>
    <w:tr w:rsidR="009738A2" w14:paraId="73B3F1E0" w14:textId="77777777">
      <w:trPr>
        <w:trHeight w:val="1418"/>
      </w:trPr>
      <w:tc>
        <w:tcPr>
          <w:tcW w:w="4939" w:type="dxa"/>
          <w:shd w:val="clear" w:color="auto" w:fill="auto"/>
        </w:tcPr>
        <w:p w14:paraId="62C7B741" w14:textId="77777777" w:rsidR="009738A2" w:rsidRDefault="009738A2">
          <w:pPr>
            <w:ind w:left="-57" w:right="-57"/>
            <w:rPr>
              <w:rFonts w:ascii="Lucida Sans Unicode" w:hAnsi="Lucida Sans Unicode"/>
              <w:color w:val="2E74B5"/>
              <w:sz w:val="24"/>
            </w:rPr>
          </w:pPr>
        </w:p>
        <w:p w14:paraId="22CE29D5" w14:textId="77777777" w:rsidR="009738A2" w:rsidRDefault="002B0A98">
          <w:pPr>
            <w:ind w:left="-57" w:right="-57"/>
            <w:rPr>
              <w:rFonts w:ascii="Lucida Sans Unicode" w:hAnsi="Lucida Sans Unicode"/>
              <w:color w:val="2E74B5"/>
              <w:sz w:val="24"/>
            </w:rPr>
          </w:pPr>
          <w:r>
            <w:rPr>
              <w:rFonts w:ascii="Lucida Sans Unicode" w:hAnsi="Lucida Sans Unicode"/>
              <w:noProof/>
              <w:color w:val="2E74B5"/>
              <w:sz w:val="24"/>
              <w:lang w:eastAsia="hr-HR"/>
            </w:rPr>
            <w:drawing>
              <wp:anchor distT="0" distB="0" distL="114300" distR="114300" simplePos="0" relativeHeight="251658240" behindDoc="0" locked="0" layoutInCell="1" allowOverlap="1" wp14:anchorId="6F8A549C" wp14:editId="28DCD3B8">
                <wp:simplePos x="0" y="0"/>
                <wp:positionH relativeFrom="column">
                  <wp:posOffset>-33020</wp:posOffset>
                </wp:positionH>
                <wp:positionV relativeFrom="page">
                  <wp:posOffset>230505</wp:posOffset>
                </wp:positionV>
                <wp:extent cx="3084829" cy="828675"/>
                <wp:effectExtent l="0" t="0" r="0" b="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4829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36" w:type="dxa"/>
          <w:shd w:val="clear" w:color="auto" w:fill="auto"/>
        </w:tcPr>
        <w:p w14:paraId="5A279576" w14:textId="77777777" w:rsidR="009738A2" w:rsidRDefault="009738A2">
          <w:pPr>
            <w:ind w:right="5"/>
            <w:jc w:val="center"/>
            <w:rPr>
              <w:rFonts w:ascii="Arial" w:hAnsi="Arial"/>
              <w:color w:val="29348C"/>
              <w:sz w:val="16"/>
            </w:rPr>
          </w:pPr>
        </w:p>
        <w:p w14:paraId="3B9DBBD7" w14:textId="77777777" w:rsidR="009738A2" w:rsidRDefault="009738A2">
          <w:pPr>
            <w:ind w:right="5"/>
            <w:jc w:val="center"/>
            <w:rPr>
              <w:rFonts w:ascii="Arial" w:hAnsi="Arial"/>
              <w:color w:val="29348C"/>
              <w:sz w:val="16"/>
            </w:rPr>
          </w:pPr>
        </w:p>
        <w:p w14:paraId="2D3BF721" w14:textId="77777777" w:rsidR="009738A2" w:rsidRDefault="009738A2">
          <w:pPr>
            <w:ind w:right="5"/>
            <w:jc w:val="center"/>
            <w:rPr>
              <w:rFonts w:ascii="Arial" w:hAnsi="Arial"/>
              <w:color w:val="29348C"/>
              <w:sz w:val="16"/>
            </w:rPr>
          </w:pPr>
        </w:p>
        <w:p w14:paraId="70848686" w14:textId="77777777" w:rsidR="009738A2" w:rsidRDefault="009738A2">
          <w:pPr>
            <w:ind w:right="5"/>
            <w:jc w:val="center"/>
            <w:rPr>
              <w:rFonts w:ascii="Arial" w:hAnsi="Arial"/>
              <w:color w:val="29348C"/>
              <w:sz w:val="16"/>
            </w:rPr>
          </w:pPr>
        </w:p>
        <w:p w14:paraId="2729C535" w14:textId="77777777" w:rsidR="009738A2" w:rsidRDefault="002B0A98">
          <w:pPr>
            <w:ind w:right="5"/>
            <w:rPr>
              <w:rFonts w:ascii="Arial" w:hAnsi="Arial"/>
              <w:color w:val="29348C"/>
              <w:sz w:val="16"/>
            </w:rPr>
          </w:pPr>
          <w:r>
            <w:rPr>
              <w:rFonts w:ascii="Arial" w:hAnsi="Arial"/>
              <w:color w:val="29348C"/>
              <w:sz w:val="16"/>
            </w:rPr>
            <w:t>Ulica  grada  Vukovara 220</w:t>
          </w:r>
        </w:p>
        <w:p w14:paraId="087F45EB" w14:textId="77777777" w:rsidR="009738A2" w:rsidRDefault="002B0A98">
          <w:pPr>
            <w:ind w:right="5"/>
            <w:rPr>
              <w:rFonts w:ascii="Arial" w:hAnsi="Arial"/>
              <w:color w:val="29348C"/>
              <w:sz w:val="16"/>
            </w:rPr>
          </w:pPr>
          <w:r>
            <w:rPr>
              <w:rFonts w:ascii="Arial" w:hAnsi="Arial"/>
              <w:color w:val="29348C"/>
              <w:sz w:val="16"/>
            </w:rPr>
            <w:t>10000 ZAGREB</w:t>
          </w:r>
        </w:p>
        <w:p w14:paraId="15A9FCAD" w14:textId="77777777" w:rsidR="009738A2" w:rsidRDefault="002B0A98">
          <w:pPr>
            <w:ind w:right="5"/>
            <w:rPr>
              <w:rFonts w:ascii="Arial" w:hAnsi="Arial"/>
              <w:color w:val="29348C"/>
              <w:sz w:val="18"/>
            </w:rPr>
          </w:pPr>
          <w:r>
            <w:rPr>
              <w:rFonts w:ascii="Arial" w:hAnsi="Arial"/>
              <w:color w:val="29348C"/>
              <w:sz w:val="18"/>
            </w:rPr>
            <w:t>OIB: 04716643151</w:t>
          </w:r>
        </w:p>
        <w:p w14:paraId="354F2415" w14:textId="77777777" w:rsidR="009738A2" w:rsidRDefault="002B0A98">
          <w:pPr>
            <w:ind w:right="5"/>
            <w:rPr>
              <w:rFonts w:ascii="Lucida Sans Unicode" w:hAnsi="Lucida Sans Unicode"/>
              <w:color w:val="29348C"/>
              <w:sz w:val="16"/>
            </w:rPr>
          </w:pPr>
          <w:r>
            <w:rPr>
              <w:rFonts w:ascii="Arial" w:hAnsi="Arial"/>
              <w:color w:val="29348C"/>
              <w:sz w:val="16"/>
            </w:rPr>
            <w:t xml:space="preserve">IBAN:HR1210010051863000160              </w:t>
          </w:r>
        </w:p>
      </w:tc>
      <w:tc>
        <w:tcPr>
          <w:tcW w:w="3108" w:type="dxa"/>
          <w:shd w:val="clear" w:color="auto" w:fill="auto"/>
        </w:tcPr>
        <w:p w14:paraId="38280C0D" w14:textId="77777777" w:rsidR="009738A2" w:rsidRDefault="002B0A98">
          <w:pPr>
            <w:ind w:right="5" w:firstLine="924"/>
            <w:rPr>
              <w:rFonts w:ascii="Arial" w:hAnsi="Arial"/>
              <w:color w:val="29348C"/>
              <w:sz w:val="16"/>
            </w:rPr>
          </w:pPr>
          <w:r>
            <w:rPr>
              <w:rFonts w:ascii="Calibri" w:hAnsi="Calibri"/>
              <w:noProof/>
              <w:sz w:val="22"/>
            </w:rPr>
            <w:drawing>
              <wp:inline distT="0" distB="0" distL="0" distR="0" wp14:anchorId="3AB2F4D0" wp14:editId="7E66A786">
                <wp:extent cx="685800" cy="6858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3632111" w14:textId="77777777" w:rsidR="009738A2" w:rsidRDefault="009738A2">
          <w:pPr>
            <w:ind w:right="5" w:firstLine="924"/>
            <w:rPr>
              <w:rFonts w:ascii="Arial" w:hAnsi="Arial"/>
              <w:color w:val="29348C"/>
              <w:sz w:val="16"/>
            </w:rPr>
          </w:pPr>
        </w:p>
        <w:p w14:paraId="3CF87AEB" w14:textId="77777777" w:rsidR="009738A2" w:rsidRDefault="002B0A98">
          <w:pPr>
            <w:ind w:right="5"/>
            <w:rPr>
              <w:rFonts w:ascii="Arial" w:hAnsi="Arial"/>
              <w:color w:val="29348C"/>
              <w:sz w:val="16"/>
            </w:rPr>
          </w:pPr>
          <w:r>
            <w:rPr>
              <w:rFonts w:ascii="Arial" w:hAnsi="Arial"/>
              <w:color w:val="29348C"/>
              <w:sz w:val="16"/>
            </w:rPr>
            <w:t xml:space="preserve">e-adresa: </w:t>
          </w:r>
          <w:hyperlink r:id="rId3" w:history="1">
            <w:r>
              <w:rPr>
                <w:rStyle w:val="Hiperveza"/>
                <w:rFonts w:ascii="Arial" w:hAnsi="Arial"/>
                <w:sz w:val="16"/>
              </w:rPr>
              <w:t>institut@institutjjs.hr</w:t>
            </w:r>
          </w:hyperlink>
        </w:p>
        <w:p w14:paraId="23905906" w14:textId="77777777" w:rsidR="009738A2" w:rsidRDefault="009738A2">
          <w:pPr>
            <w:ind w:right="5"/>
            <w:jc w:val="right"/>
            <w:rPr>
              <w:rFonts w:ascii="Arial" w:hAnsi="Arial"/>
              <w:color w:val="29348C"/>
              <w:sz w:val="16"/>
            </w:rPr>
          </w:pPr>
        </w:p>
      </w:tc>
    </w:tr>
  </w:tbl>
  <w:p w14:paraId="59530F24" w14:textId="77777777" w:rsidR="009738A2" w:rsidRDefault="009738A2">
    <w:pPr>
      <w:pStyle w:val="Zaglavlje"/>
      <w:rPr>
        <w:color w:val="2E74B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06373"/>
    <w:multiLevelType w:val="hybridMultilevel"/>
    <w:tmpl w:val="F26E28C4"/>
    <w:lvl w:ilvl="0" w:tplc="06066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36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A2"/>
    <w:rsid w:val="002B0A98"/>
    <w:rsid w:val="009738A2"/>
    <w:rsid w:val="009D4543"/>
    <w:rsid w:val="00C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428F"/>
  <w15:docId w15:val="{E866DB2D-C557-4AFB-A5DE-04F4EA87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@institutjjs.h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1989</Words>
  <Characters>11341</Characters>
  <Application>Microsoft Office Word</Application>
  <DocSecurity>0</DocSecurity>
  <Lines>94</Lines>
  <Paragraphs>26</Paragraphs>
  <ScaleCrop>false</ScaleCrop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Bukovac</dc:creator>
  <cp:keywords/>
  <dc:description/>
  <cp:lastModifiedBy>Lidija Baras</cp:lastModifiedBy>
  <cp:revision>3</cp:revision>
  <dcterms:created xsi:type="dcterms:W3CDTF">2024-03-27T10:43:00Z</dcterms:created>
  <dcterms:modified xsi:type="dcterms:W3CDTF">2024-03-27T13:24:00Z</dcterms:modified>
</cp:coreProperties>
</file>