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D479A" w14:paraId="275E06C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E9A945" w14:textId="77777777" w:rsidR="00CD479A" w:rsidRDefault="00065F7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90F9F46" w14:textId="77777777" w:rsidR="00CD479A" w:rsidRDefault="00065F71">
            <w:pPr>
              <w:spacing w:after="0" w:line="240" w:lineRule="auto"/>
            </w:pPr>
            <w:r>
              <w:t>52469</w:t>
            </w:r>
          </w:p>
        </w:tc>
      </w:tr>
      <w:tr w:rsidR="00CD479A" w14:paraId="28E7323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373C5D" w14:textId="77777777" w:rsidR="00CD479A" w:rsidRDefault="00065F7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B13927B" w14:textId="761A064B" w:rsidR="00CD479A" w:rsidRDefault="00065F71">
            <w:pPr>
              <w:spacing w:after="0" w:line="240" w:lineRule="auto"/>
            </w:pPr>
            <w:r>
              <w:t xml:space="preserve">Institut za vode </w:t>
            </w:r>
            <w:r w:rsidR="004F7E7A">
              <w:t>„</w:t>
            </w:r>
            <w:r>
              <w:t>Josip Juraj Strossmayer</w:t>
            </w:r>
            <w:r w:rsidR="004F7E7A">
              <w:t>“</w:t>
            </w:r>
          </w:p>
        </w:tc>
      </w:tr>
      <w:tr w:rsidR="00CD479A" w14:paraId="1A2180D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7EC817" w14:textId="77777777" w:rsidR="00CD479A" w:rsidRDefault="00065F7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2CEFF36" w14:textId="77777777" w:rsidR="00CD479A" w:rsidRDefault="00065F71">
            <w:pPr>
              <w:spacing w:after="0" w:line="240" w:lineRule="auto"/>
            </w:pPr>
            <w:r>
              <w:t>11</w:t>
            </w:r>
          </w:p>
        </w:tc>
      </w:tr>
    </w:tbl>
    <w:p w14:paraId="12580010" w14:textId="2778FFB7" w:rsidR="00CD479A" w:rsidRDefault="00CD479A"/>
    <w:p w14:paraId="55071E62" w14:textId="77777777" w:rsidR="00CD479A" w:rsidRDefault="00065F7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D2574C4" w14:textId="77777777" w:rsidR="00CD479A" w:rsidRDefault="00065F7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A7A6E8B" w14:textId="77777777" w:rsidR="00C1099F" w:rsidRDefault="00065F71" w:rsidP="00D23B28">
      <w:pPr>
        <w:spacing w:line="240" w:lineRule="auto"/>
        <w:jc w:val="center"/>
      </w:pPr>
      <w:r w:rsidRPr="004F7E7A">
        <w:rPr>
          <w:b/>
          <w:sz w:val="28"/>
        </w:rPr>
        <w:t xml:space="preserve">I </w:t>
      </w:r>
      <w:r w:rsidR="005246AC" w:rsidRPr="004F7E7A">
        <w:rPr>
          <w:b/>
          <w:sz w:val="28"/>
        </w:rPr>
        <w:t>–</w:t>
      </w:r>
      <w:r w:rsidRPr="004F7E7A">
        <w:rPr>
          <w:b/>
          <w:sz w:val="28"/>
        </w:rPr>
        <w:t xml:space="preserve"> </w:t>
      </w:r>
      <w:r w:rsidR="004F7E7A" w:rsidRPr="004F7E7A">
        <w:rPr>
          <w:b/>
          <w:sz w:val="28"/>
        </w:rPr>
        <w:t>XII</w:t>
      </w:r>
      <w:r w:rsidR="005246AC" w:rsidRPr="004F7E7A">
        <w:rPr>
          <w:b/>
          <w:sz w:val="28"/>
        </w:rPr>
        <w:t>/</w:t>
      </w:r>
      <w:r w:rsidRPr="004F7E7A">
        <w:rPr>
          <w:b/>
          <w:sz w:val="28"/>
        </w:rPr>
        <w:t>2025</w:t>
      </w:r>
      <w:r w:rsidRPr="00E33BD1">
        <w:rPr>
          <w:b/>
          <w:sz w:val="28"/>
        </w:rPr>
        <w:t>.</w:t>
      </w:r>
    </w:p>
    <w:p w14:paraId="6745EF34" w14:textId="0BFC55F6" w:rsidR="00CD479A" w:rsidRDefault="00065F71" w:rsidP="00D23B28">
      <w:pPr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0F67C28" w14:textId="77777777" w:rsidR="00CD479A" w:rsidRDefault="00065F7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356"/>
        <w:gridCol w:w="567"/>
        <w:gridCol w:w="1817"/>
        <w:gridCol w:w="1860"/>
        <w:gridCol w:w="700"/>
      </w:tblGrid>
      <w:tr w:rsidR="00CD479A" w14:paraId="58A0EA78" w14:textId="77777777" w:rsidTr="008F068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5AAFB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356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D053F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567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F31B8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17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32A65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E5AA0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7A8BA" w14:textId="77777777" w:rsidR="00CD479A" w:rsidRDefault="00065F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479A" w14:paraId="68F25C08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FE40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03EB794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7B9823A7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169CCAD6" w14:textId="7872C2AF" w:rsidR="00CD479A" w:rsidRDefault="0069374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7.538.000,00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E2F50" w14:textId="19BC21B5" w:rsidR="00CD479A" w:rsidRDefault="009731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12.302.632,00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9D30C" w14:textId="19DB274C" w:rsidR="00CD479A" w:rsidRDefault="00764C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163,20</w:t>
            </w:r>
          </w:p>
        </w:tc>
      </w:tr>
      <w:tr w:rsidR="00CD479A" w14:paraId="765B2781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1959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0194B74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1479DBF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737B6D65" w14:textId="2A02E6A5" w:rsidR="00CD479A" w:rsidRDefault="00EE2B9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8.775.405,54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0AC28" w14:textId="72CFBFCC" w:rsidR="00CD479A" w:rsidRDefault="009731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11.547.619,05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96D19" w14:textId="70F61A7C" w:rsidR="00CD479A" w:rsidRDefault="00764C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131,59</w:t>
            </w:r>
          </w:p>
        </w:tc>
      </w:tr>
      <w:tr w:rsidR="00CD479A" w14:paraId="7CB6786F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76E62" w14:textId="77777777" w:rsidR="00CD479A" w:rsidRDefault="00CD479A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12227C72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00CE8E5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1A4F7DF9" w14:textId="244C33FE" w:rsidR="00CD479A" w:rsidRPr="004F4319" w:rsidRDefault="004F4319">
            <w:pPr>
              <w:keepNext/>
              <w:keepLines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4F431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078B2" w14:textId="3FA09A90" w:rsidR="00CD479A" w:rsidRPr="00973128" w:rsidRDefault="009676FE">
            <w:pPr>
              <w:keepNext/>
              <w:keepLines/>
              <w:spacing w:after="0" w:line="240" w:lineRule="auto"/>
              <w:jc w:val="right"/>
              <w:rPr>
                <w:color w:val="EE0000"/>
              </w:rPr>
            </w:pPr>
            <w:r w:rsidRPr="009676FE">
              <w:rPr>
                <w:b/>
                <w:sz w:val="18"/>
              </w:rPr>
              <w:t>755.012,95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32A32" w14:textId="730D9668" w:rsidR="00CD479A" w:rsidRPr="00973128" w:rsidRDefault="00CD479A">
            <w:pPr>
              <w:keepNext/>
              <w:keepLines/>
              <w:spacing w:after="0" w:line="240" w:lineRule="auto"/>
              <w:jc w:val="right"/>
              <w:rPr>
                <w:color w:val="EE0000"/>
              </w:rPr>
            </w:pPr>
          </w:p>
        </w:tc>
      </w:tr>
      <w:tr w:rsidR="00651359" w14:paraId="1EBC729F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A1BF5" w14:textId="77777777" w:rsidR="00651359" w:rsidRDefault="00651359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340F6756" w14:textId="420EA962" w:rsidR="00651359" w:rsidRDefault="00997A80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</w:t>
            </w:r>
            <w:r w:rsidR="00651359">
              <w:rPr>
                <w:b/>
                <w:sz w:val="18"/>
              </w:rPr>
              <w:t xml:space="preserve"> PRIHODA POSLOVANJA (šifre Z005</w:t>
            </w:r>
            <w:r>
              <w:rPr>
                <w:b/>
                <w:sz w:val="18"/>
              </w:rPr>
              <w:t>-6</w:t>
            </w:r>
            <w:r w:rsidR="00651359">
              <w:rPr>
                <w:b/>
                <w:sz w:val="18"/>
              </w:rPr>
              <w:t>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DFC2635" w14:textId="11A2D01E" w:rsidR="00651359" w:rsidRDefault="00997A80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5D52A288" w14:textId="0F29BAB8" w:rsidR="00651359" w:rsidRDefault="00997A80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1.237.405,54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22F18" w14:textId="21141098" w:rsidR="00651359" w:rsidRPr="009676FE" w:rsidRDefault="004F4319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596F2" w14:textId="77777777" w:rsidR="00651359" w:rsidRPr="00973128" w:rsidRDefault="00651359">
            <w:pPr>
              <w:keepNext/>
              <w:keepLines/>
              <w:spacing w:after="0" w:line="240" w:lineRule="auto"/>
              <w:jc w:val="right"/>
              <w:rPr>
                <w:b/>
                <w:color w:val="EE0000"/>
                <w:sz w:val="18"/>
              </w:rPr>
            </w:pPr>
          </w:p>
        </w:tc>
      </w:tr>
      <w:tr w:rsidR="00CD479A" w14:paraId="73285C55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723F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016BE5CC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35B6A99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05153EDC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943A5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4D83D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479A" w14:paraId="4706FA11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B2BF7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2082875D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A8FAC2A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04CC95A3" w14:textId="6D7970B1" w:rsidR="00CD479A" w:rsidRDefault="00F329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275.864,90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5418B" w14:textId="0F721DCE" w:rsidR="00CD479A" w:rsidRDefault="0097312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266.564,61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353A" w14:textId="79FFD9CE" w:rsidR="00CD479A" w:rsidRDefault="00F85410" w:rsidP="001933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  <w:r w:rsidR="0019333E">
              <w:rPr>
                <w:sz w:val="18"/>
              </w:rPr>
              <w:t>3</w:t>
            </w:r>
          </w:p>
        </w:tc>
      </w:tr>
      <w:tr w:rsidR="00CD479A" w14:paraId="31FA560B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42BB9" w14:textId="77777777" w:rsidR="00CD479A" w:rsidRDefault="00CD479A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27FE585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38FA61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18E3D22B" w14:textId="7B5923C3" w:rsidR="00CD479A" w:rsidRDefault="00F329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275.864,90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2813A" w14:textId="2AA5C3F1" w:rsidR="00CD479A" w:rsidRDefault="007858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266.564,61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48475" w14:textId="0E3AB752" w:rsidR="00CD479A" w:rsidRDefault="00F85410" w:rsidP="001933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96,6</w:t>
            </w:r>
            <w:r w:rsidR="0019333E">
              <w:rPr>
                <w:b/>
                <w:sz w:val="18"/>
              </w:rPr>
              <w:t>3</w:t>
            </w:r>
          </w:p>
        </w:tc>
      </w:tr>
      <w:tr w:rsidR="00CD479A" w14:paraId="52808E4D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3C02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4FAFA86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0DC6A9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42F1B6F0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3E2BD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E466E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479A" w14:paraId="3CB43521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FFD7C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340C4BE6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6C885D4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65C2F699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B2A98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DC8FC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479A" w14:paraId="6259D736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6F4B3" w14:textId="77777777" w:rsidR="00CD479A" w:rsidRDefault="00CD479A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50C65C54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4D0F288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3EF53A73" w14:textId="26E948AC" w:rsidR="00CD479A" w:rsidRDefault="00253D0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02EF5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65D66" w14:textId="77777777" w:rsidR="00CD479A" w:rsidRDefault="00065F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D479A" w14:paraId="5DB5C36A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2258F" w14:textId="77777777" w:rsidR="00CD479A" w:rsidRDefault="00CD479A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0687AADB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DB2471D" w14:textId="77777777" w:rsidR="00CD479A" w:rsidRDefault="00065F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5B5ED5D0" w14:textId="45952F4D" w:rsidR="00CD479A" w:rsidRDefault="00077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D61D4" w14:textId="2C529EAE" w:rsidR="00CD479A" w:rsidRDefault="003D55DF">
            <w:pPr>
              <w:keepNext/>
              <w:keepLines/>
              <w:spacing w:after="0" w:line="240" w:lineRule="auto"/>
              <w:jc w:val="right"/>
            </w:pPr>
            <w:r w:rsidRPr="003D55DF">
              <w:rPr>
                <w:b/>
                <w:color w:val="000000" w:themeColor="text1"/>
                <w:sz w:val="18"/>
              </w:rPr>
              <w:t>488.448,34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EF6FB" w14:textId="17A1974E" w:rsidR="00CD479A" w:rsidRDefault="00C6274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75961" w14:paraId="102D805D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290D4" w14:textId="77777777" w:rsidR="00C75961" w:rsidRDefault="00C75961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54DB0448" w14:textId="77638E19" w:rsidR="00C75961" w:rsidRDefault="00E26471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 PRIHODA I PRIMITAKA (šifre Y345</w:t>
            </w:r>
            <w:r w:rsidR="005F1747">
              <w:rPr>
                <w:b/>
                <w:sz w:val="18"/>
              </w:rPr>
              <w:t>-X678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71403451" w14:textId="1ADE0AD3" w:rsidR="00C75961" w:rsidRDefault="005F1747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4723F26C" w14:textId="68CC2590" w:rsidR="00C75961" w:rsidRDefault="00253D0A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1.513.270,</w:t>
            </w:r>
            <w:r w:rsidR="00504298">
              <w:rPr>
                <w:b/>
                <w:sz w:val="18"/>
              </w:rPr>
              <w:t>4</w:t>
            </w:r>
            <w:r w:rsidR="008875C9">
              <w:rPr>
                <w:b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801C2" w14:textId="111D9DDC" w:rsidR="00C75961" w:rsidRPr="004F4319" w:rsidRDefault="004F4319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 w:rsidRPr="004F4319"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8583A" w14:textId="77777777" w:rsidR="00C75961" w:rsidRPr="004F4319" w:rsidRDefault="00C75961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C75961" w14:paraId="57331AD3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CDA23" w14:textId="77777777" w:rsidR="00C75961" w:rsidRDefault="00C75961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7EC92BD4" w14:textId="7931EE13" w:rsidR="00C75961" w:rsidRDefault="00AE4784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Višak prihoda - preneseni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06A37049" w14:textId="5EC9A852" w:rsidR="00C75961" w:rsidRDefault="000A7DFB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9221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47175532" w14:textId="71909AC3" w:rsidR="00C75961" w:rsidRDefault="00EF4203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1.514.061,97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C2D3D" w14:textId="44838AC8" w:rsidR="00C75961" w:rsidRPr="003D55DF" w:rsidRDefault="003D55DF">
            <w:pPr>
              <w:keepNext/>
              <w:keepLines/>
              <w:spacing w:after="0" w:line="240" w:lineRule="auto"/>
              <w:jc w:val="right"/>
              <w:rPr>
                <w:b/>
                <w:color w:val="000000" w:themeColor="text1"/>
                <w:sz w:val="18"/>
              </w:rPr>
            </w:pPr>
            <w:r w:rsidRPr="003D55DF">
              <w:rPr>
                <w:b/>
                <w:color w:val="000000" w:themeColor="text1"/>
                <w:sz w:val="18"/>
              </w:rPr>
              <w:t>874,38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06156" w14:textId="03CAD933" w:rsidR="00C75961" w:rsidRDefault="00C62748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</w:t>
            </w:r>
          </w:p>
        </w:tc>
      </w:tr>
      <w:tr w:rsidR="00C75961" w14:paraId="5609BDA0" w14:textId="77777777" w:rsidTr="008F068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D5BAD" w14:textId="77777777" w:rsidR="00C75961" w:rsidRDefault="00C75961">
            <w:pPr>
              <w:keepNext/>
              <w:keepLines/>
              <w:spacing w:after="0" w:line="240" w:lineRule="auto"/>
            </w:pPr>
          </w:p>
        </w:tc>
        <w:tc>
          <w:tcPr>
            <w:tcW w:w="3356" w:type="dxa"/>
            <w:tcMar>
              <w:top w:w="0" w:type="dxa"/>
              <w:bottom w:w="0" w:type="dxa"/>
            </w:tcMar>
            <w:vAlign w:val="center"/>
          </w:tcPr>
          <w:p w14:paraId="5B02C906" w14:textId="5A033DBF" w:rsidR="00C75961" w:rsidRPr="00AE4784" w:rsidRDefault="00E26471">
            <w:pPr>
              <w:keepNext/>
              <w:keepLines/>
              <w:spacing w:after="0" w:line="240" w:lineRule="auto"/>
              <w:rPr>
                <w:b/>
                <w:sz w:val="22"/>
                <w:szCs w:val="22"/>
              </w:rPr>
            </w:pPr>
            <w:r w:rsidRPr="00AE4784">
              <w:rPr>
                <w:b/>
                <w:sz w:val="22"/>
                <w:szCs w:val="22"/>
              </w:rPr>
              <w:t>VIŠAK PRIHODA RASPOLOŽIV U SLIJEDEĆEM RAZDOBLJU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4E6C878" w14:textId="1E9A4096" w:rsidR="00C75961" w:rsidRDefault="000A7DFB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X006</w:t>
            </w:r>
          </w:p>
        </w:tc>
        <w:tc>
          <w:tcPr>
            <w:tcW w:w="1817" w:type="dxa"/>
            <w:tcMar>
              <w:top w:w="0" w:type="dxa"/>
              <w:bottom w:w="0" w:type="dxa"/>
            </w:tcMar>
            <w:vAlign w:val="center"/>
          </w:tcPr>
          <w:p w14:paraId="74A55C89" w14:textId="548441D3" w:rsidR="00C75961" w:rsidRPr="00AE4784" w:rsidRDefault="00EF4203">
            <w:pPr>
              <w:keepNext/>
              <w:keepLines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AE4784">
              <w:rPr>
                <w:b/>
                <w:sz w:val="22"/>
                <w:szCs w:val="22"/>
              </w:rPr>
              <w:t>791,53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BF5C6" w14:textId="55972186" w:rsidR="00C75961" w:rsidRPr="00AE4784" w:rsidRDefault="003D55DF">
            <w:pPr>
              <w:keepNext/>
              <w:keepLines/>
              <w:spacing w:after="0" w:line="240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AE4784">
              <w:rPr>
                <w:b/>
                <w:color w:val="000000" w:themeColor="text1"/>
                <w:sz w:val="22"/>
                <w:szCs w:val="22"/>
              </w:rPr>
              <w:t>489.322,72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0661A" w14:textId="47C20DDC" w:rsidR="00C75961" w:rsidRPr="00AE4784" w:rsidRDefault="00C62748">
            <w:pPr>
              <w:keepNext/>
              <w:keepLines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AE4784">
              <w:rPr>
                <w:b/>
                <w:sz w:val="22"/>
                <w:szCs w:val="22"/>
              </w:rPr>
              <w:t>&gt;&gt;100</w:t>
            </w:r>
          </w:p>
        </w:tc>
      </w:tr>
    </w:tbl>
    <w:p w14:paraId="2116973F" w14:textId="77777777" w:rsidR="00CD479A" w:rsidRDefault="00CD479A">
      <w:pPr>
        <w:spacing w:after="0"/>
      </w:pPr>
    </w:p>
    <w:p w14:paraId="7AB50847" w14:textId="2FA2AAC7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lastRenderedPageBreak/>
        <w:t xml:space="preserve">Financijski izvještaji Instituta za vode “Josip Juraj Strossmayer“  za razdoblje od 01.01.2025. do </w:t>
      </w:r>
      <w:r w:rsidR="007858A0" w:rsidRPr="00CF6E21">
        <w:rPr>
          <w:rFonts w:cs="Times New Roman"/>
        </w:rPr>
        <w:t>31.12</w:t>
      </w:r>
      <w:r w:rsidRPr="00CF6E21">
        <w:rPr>
          <w:rFonts w:cs="Times New Roman"/>
        </w:rPr>
        <w:t>.2025. godine sastavljeni su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sukladno odredbama Pravilnika o proračunskom računovodstvu i Računskom planu (NN, br. 158/23 i 154/24) te Pravilnika o financijskom izvještavanju u proračunskom računovodstvu (NN, br. 37/22 i 52/25).</w:t>
      </w:r>
    </w:p>
    <w:p w14:paraId="6896EEF4" w14:textId="67F6D1A4" w:rsidR="00CD479A" w:rsidRPr="00CF6E21" w:rsidRDefault="00065F71" w:rsidP="00D23B28">
      <w:pPr>
        <w:jc w:val="center"/>
        <w:rPr>
          <w:rFonts w:cs="Times New Roman"/>
        </w:rPr>
      </w:pPr>
      <w:r w:rsidRPr="00CF6E21">
        <w:rPr>
          <w:rFonts w:cs="Times New Roman"/>
        </w:rPr>
        <w:br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360135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A086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1BB6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0142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2BD9E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123E1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A1B2D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123D7E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A2356" w14:textId="77777777" w:rsidR="00CD479A" w:rsidRPr="00D62091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AA7A00" w14:textId="77777777" w:rsidR="00CD479A" w:rsidRPr="00D62091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73115" w14:textId="77777777" w:rsidR="00CD479A" w:rsidRPr="00D62091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2DFB9" w14:textId="607C13C5" w:rsidR="00CD479A" w:rsidRPr="00D62091" w:rsidRDefault="00820E59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7.538.000,00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DA807" w14:textId="6EFA458F" w:rsidR="00CD479A" w:rsidRPr="00D62091" w:rsidRDefault="001F504F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12.302.632,00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3FCFF" w14:textId="66665F7E" w:rsidR="00CD479A" w:rsidRPr="00D62091" w:rsidRDefault="00932197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sz w:val="18"/>
                <w:szCs w:val="18"/>
              </w:rPr>
              <w:t>163,2</w:t>
            </w:r>
            <w:r w:rsidR="00121954" w:rsidRPr="00D62091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5C19BA7F" w14:textId="77777777" w:rsidR="00CD479A" w:rsidRPr="00CF6E21" w:rsidRDefault="00CD479A">
      <w:pPr>
        <w:spacing w:after="0"/>
        <w:rPr>
          <w:rFonts w:cs="Times New Roman"/>
        </w:rPr>
      </w:pPr>
    </w:p>
    <w:p w14:paraId="62148B0D" w14:textId="6F44C663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Prihodi na računu 63</w:t>
      </w:r>
      <w:r w:rsidR="00302B86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</w:t>
      </w:r>
      <w:r w:rsidR="00302B86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 xml:space="preserve">pomoći iz inozemstva i od subjekata unutar općeg proračuna ostvareni su temeljem čl. 14. Uredbe o osnivanju Instituta za vode “Josip Juraj Strossmayer“ ( NN, br. 143/21) kojim je definirano da se sredstva za poslovanje Instituta osiguravaju na teret prihoda od vodnih naknada u skladu sa financijskim planom Hrvatskih voda. Sredstva doznačena u izvještajnom razdoblju iznose </w:t>
      </w:r>
      <w:r w:rsidR="00C341C4" w:rsidRPr="00CF6E21">
        <w:rPr>
          <w:rFonts w:cs="Times New Roman"/>
        </w:rPr>
        <w:t>12.302.</w:t>
      </w:r>
      <w:r w:rsidR="007F54DE" w:rsidRPr="00CF6E21">
        <w:rPr>
          <w:rFonts w:cs="Times New Roman"/>
        </w:rPr>
        <w:t>632,00</w:t>
      </w:r>
      <w:r w:rsidRPr="00CF6E21">
        <w:rPr>
          <w:rFonts w:cs="Times New Roman"/>
        </w:rPr>
        <w:t xml:space="preserve"> eur te su evidentirana kao tekuće pomoći od izvanproračunskih korisnika</w:t>
      </w:r>
      <w:r w:rsidR="007F54DE" w:rsidRPr="00CF6E21">
        <w:rPr>
          <w:rFonts w:cs="Times New Roman"/>
        </w:rPr>
        <w:t xml:space="preserve"> u iznosu od </w:t>
      </w:r>
      <w:r w:rsidR="00C341C4" w:rsidRPr="00CF6E21">
        <w:rPr>
          <w:rFonts w:cs="Times New Roman"/>
        </w:rPr>
        <w:t>12.036.067,</w:t>
      </w:r>
      <w:r w:rsidR="007C5E15" w:rsidRPr="00CF6E21">
        <w:rPr>
          <w:rFonts w:cs="Times New Roman"/>
        </w:rPr>
        <w:t>3</w:t>
      </w:r>
      <w:r w:rsidR="00C341C4" w:rsidRPr="00CF6E21">
        <w:rPr>
          <w:rFonts w:cs="Times New Roman"/>
        </w:rPr>
        <w:t>9</w:t>
      </w:r>
      <w:r w:rsidR="007F54DE" w:rsidRPr="00CF6E21">
        <w:rPr>
          <w:rFonts w:cs="Times New Roman"/>
        </w:rPr>
        <w:t xml:space="preserve">,00 eur i kao kapitalne pomoći od ostalih izvanproračunskih korisnika u iznosu od </w:t>
      </w:r>
      <w:r w:rsidR="00C341C4" w:rsidRPr="00CF6E21">
        <w:rPr>
          <w:rFonts w:cs="Times New Roman"/>
        </w:rPr>
        <w:t>266.564,61</w:t>
      </w:r>
      <w:r w:rsidR="007F54DE" w:rsidRPr="00CF6E21">
        <w:rPr>
          <w:rFonts w:cs="Times New Roman"/>
        </w:rPr>
        <w:t>,00 eur.</w:t>
      </w:r>
      <w:r w:rsidRPr="00CF6E21">
        <w:rPr>
          <w:rFonts w:cs="Times New Roman"/>
        </w:rPr>
        <w:t xml:space="preserve"> U izvještajnom razdoblju prihodi su ostvareni u većem iznosu budući masa planiranih prihoda u 2025. godini bilježi porast u odnosu na prethodno razdoblje.</w:t>
      </w:r>
    </w:p>
    <w:p w14:paraId="492767A9" w14:textId="77777777" w:rsidR="00CD479A" w:rsidRPr="00CF6E21" w:rsidRDefault="00CD479A">
      <w:pPr>
        <w:rPr>
          <w:rFonts w:cs="Times New Roman"/>
        </w:rPr>
      </w:pPr>
    </w:p>
    <w:p w14:paraId="07C0947E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712E76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D4DF0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3B173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B6AA4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6C23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65B88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21AE5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02F690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CF07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0E6C2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173CD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4325A" w14:textId="20A2113C" w:rsidR="00CD479A" w:rsidRPr="001462D7" w:rsidRDefault="00F17F41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1.825.829,46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C66FB" w14:textId="4D611903" w:rsidR="00CD479A" w:rsidRPr="001462D7" w:rsidRDefault="001F504F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2.043.182,67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A58C" w14:textId="006A5552" w:rsidR="00CD479A" w:rsidRPr="001462D7" w:rsidRDefault="00BB578C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111,9</w:t>
            </w:r>
            <w:r w:rsidR="00121954" w:rsidRPr="001462D7"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481DD101" w14:textId="77777777" w:rsidR="00CD479A" w:rsidRPr="00CF6E21" w:rsidRDefault="00CD479A">
      <w:pPr>
        <w:spacing w:after="0"/>
        <w:rPr>
          <w:rFonts w:cs="Times New Roman"/>
        </w:rPr>
      </w:pPr>
    </w:p>
    <w:p w14:paraId="3AE7E69D" w14:textId="56423141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 okviru skupine računa 31</w:t>
      </w:r>
      <w:r w:rsidR="004875E3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 rashodi za zaposlene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bilježi se povećanje rashoda uslijed primjene Uredbe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o nazivima radnih mjesta,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uvjetima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za raspored</w:t>
      </w:r>
      <w:r w:rsidR="0019333E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i koeficijentima za obračun plaće u javnim službama (NN, br. 22/24)  počevši od 01. ožujka 2024. godine</w:t>
      </w:r>
      <w:r w:rsidR="00FE0026" w:rsidRPr="00CF6E21">
        <w:rPr>
          <w:rFonts w:cs="Times New Roman"/>
        </w:rPr>
        <w:t xml:space="preserve"> te povećanja broja zaposlenih u odnosu </w:t>
      </w:r>
      <w:r w:rsidR="001C05D1" w:rsidRPr="00CF6E21">
        <w:rPr>
          <w:rFonts w:cs="Times New Roman"/>
        </w:rPr>
        <w:t xml:space="preserve">na </w:t>
      </w:r>
      <w:r w:rsidR="00CF35DD" w:rsidRPr="00CF6E21">
        <w:rPr>
          <w:rFonts w:cs="Times New Roman"/>
        </w:rPr>
        <w:t>prethodno</w:t>
      </w:r>
      <w:r w:rsidR="00FE0026" w:rsidRPr="00CF6E21">
        <w:rPr>
          <w:rFonts w:cs="Times New Roman"/>
        </w:rPr>
        <w:t xml:space="preserve"> izvještajno razdoblje</w:t>
      </w:r>
      <w:r w:rsidR="00CF35DD" w:rsidRPr="00CF6E21">
        <w:rPr>
          <w:rFonts w:cs="Times New Roman"/>
        </w:rPr>
        <w:t>.</w:t>
      </w:r>
    </w:p>
    <w:p w14:paraId="6D86D7F2" w14:textId="77777777" w:rsidR="00CD479A" w:rsidRPr="00CF6E21" w:rsidRDefault="00CD479A">
      <w:pPr>
        <w:rPr>
          <w:rFonts w:cs="Times New Roman"/>
        </w:rPr>
      </w:pPr>
    </w:p>
    <w:p w14:paraId="6917409E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364951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E835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707ED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804A9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7A103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8ACDA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C3350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222B6F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14E5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6549D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8E70C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4934B" w14:textId="1A20793E" w:rsidR="00CD479A" w:rsidRPr="001462D7" w:rsidRDefault="00F17F41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6.949.533,53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39F93" w14:textId="46F3E509" w:rsidR="00CD479A" w:rsidRPr="001462D7" w:rsidRDefault="001F504F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9.504.366,29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DCA02" w14:textId="2AD696EC" w:rsidR="00CD479A" w:rsidRPr="001462D7" w:rsidRDefault="009C0BAE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136,76</w:t>
            </w:r>
          </w:p>
        </w:tc>
      </w:tr>
    </w:tbl>
    <w:p w14:paraId="7751A051" w14:textId="77777777" w:rsidR="00CD479A" w:rsidRPr="00CF6E21" w:rsidRDefault="00CD479A">
      <w:pPr>
        <w:spacing w:after="0"/>
        <w:rPr>
          <w:rFonts w:cs="Times New Roman"/>
        </w:rPr>
      </w:pPr>
    </w:p>
    <w:p w14:paraId="118030E6" w14:textId="4672395F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Unutar skupine 32 -</w:t>
      </w:r>
      <w:r w:rsidR="004875E3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materijalni rashodi bilježi se značajno porast rashoda u odnosu na isto izvještajno razdoblje prethodne godine.</w:t>
      </w:r>
    </w:p>
    <w:p w14:paraId="7DE0A990" w14:textId="77777777" w:rsidR="00CD479A" w:rsidRPr="00CF6E21" w:rsidRDefault="00CD479A">
      <w:pPr>
        <w:rPr>
          <w:rFonts w:cs="Times New Roman"/>
        </w:rPr>
      </w:pPr>
    </w:p>
    <w:p w14:paraId="2ED5FA7E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60DBE3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76CF1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B4A17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64DD0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40F56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D29F0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EB1E8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1462D7" w14:paraId="29DE59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CE362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C0695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5763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41D93" w14:textId="46587605" w:rsidR="00CD479A" w:rsidRPr="001462D7" w:rsidRDefault="009B58A8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133.649,89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F8045" w14:textId="4C22982A" w:rsidR="00CD479A" w:rsidRPr="001462D7" w:rsidRDefault="00EA48B1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96.007,60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8B82D" w14:textId="66F3F403" w:rsidR="00CD479A" w:rsidRPr="001462D7" w:rsidRDefault="00302A87" w:rsidP="00121954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71,8</w:t>
            </w:r>
            <w:r w:rsidR="00121954" w:rsidRPr="001462D7">
              <w:rPr>
                <w:rFonts w:cs="Times New Roman"/>
                <w:sz w:val="18"/>
                <w:szCs w:val="18"/>
              </w:rPr>
              <w:t>4</w:t>
            </w:r>
          </w:p>
        </w:tc>
      </w:tr>
    </w:tbl>
    <w:p w14:paraId="5218DA6C" w14:textId="77777777" w:rsidR="00CD479A" w:rsidRPr="00CF6E21" w:rsidRDefault="00CD479A">
      <w:pPr>
        <w:spacing w:after="0"/>
        <w:rPr>
          <w:rFonts w:cs="Times New Roman"/>
        </w:rPr>
      </w:pPr>
    </w:p>
    <w:p w14:paraId="1E8053CD" w14:textId="270FCAAE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Unutar podskupine računa 321</w:t>
      </w:r>
      <w:r w:rsidR="004875E3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 naknade troškova zaposlenima rashodi su ostvareni u nešto manjem iznosu radi smanjenja rashoda za stručna usavršavanja i službena putovanja te na rashodima za naknade za prijevoz zbog primjene odredbi Temeljnog Kolektivnog ugovora za javne službenike počevši od 01. lipnja o.g.</w:t>
      </w:r>
    </w:p>
    <w:p w14:paraId="3C1BAEE6" w14:textId="77777777" w:rsidR="00CD479A" w:rsidRPr="00CF6E21" w:rsidRDefault="00CD479A">
      <w:pPr>
        <w:rPr>
          <w:rFonts w:cs="Times New Roman"/>
        </w:rPr>
      </w:pPr>
    </w:p>
    <w:p w14:paraId="0D1175B7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08D5E1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D9DE2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CDFA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0D8C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9CFF1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B357B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F7CDD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2C3B9D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D8D9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CA8F3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A51BD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E82DE" w14:textId="50EF2981" w:rsidR="00CD479A" w:rsidRPr="001462D7" w:rsidRDefault="004875E3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572.870,73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F7C3A" w14:textId="5547D2EC" w:rsidR="00CD479A" w:rsidRPr="001462D7" w:rsidRDefault="00EA48B1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677.190,23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DA766" w14:textId="1B441EED" w:rsidR="00CD479A" w:rsidRPr="001462D7" w:rsidRDefault="004D4E17" w:rsidP="00AC4B97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11</w:t>
            </w:r>
            <w:r w:rsidR="00AC4B97" w:rsidRPr="001462D7">
              <w:rPr>
                <w:rFonts w:cs="Times New Roman"/>
                <w:sz w:val="18"/>
                <w:szCs w:val="18"/>
              </w:rPr>
              <w:t>8</w:t>
            </w:r>
            <w:r w:rsidRPr="001462D7">
              <w:rPr>
                <w:rFonts w:cs="Times New Roman"/>
                <w:sz w:val="18"/>
                <w:szCs w:val="18"/>
              </w:rPr>
              <w:t>,</w:t>
            </w:r>
            <w:r w:rsidR="00AC4B97" w:rsidRPr="001462D7">
              <w:rPr>
                <w:rFonts w:cs="Times New Roman"/>
                <w:sz w:val="18"/>
                <w:szCs w:val="18"/>
              </w:rPr>
              <w:t>21</w:t>
            </w:r>
          </w:p>
        </w:tc>
      </w:tr>
    </w:tbl>
    <w:p w14:paraId="06240EC4" w14:textId="77777777" w:rsidR="00CD479A" w:rsidRPr="00CF6E21" w:rsidRDefault="00CD479A">
      <w:pPr>
        <w:spacing w:after="0"/>
        <w:rPr>
          <w:rFonts w:cs="Times New Roman"/>
        </w:rPr>
      </w:pPr>
    </w:p>
    <w:p w14:paraId="305722C3" w14:textId="11F038BA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Unutar podskupine 322</w:t>
      </w:r>
      <w:r w:rsidR="00B30261" w:rsidRPr="00CF6E21">
        <w:rPr>
          <w:rFonts w:cs="Times New Roman"/>
        </w:rPr>
        <w:t xml:space="preserve"> </w:t>
      </w:r>
      <w:r w:rsidR="00AC4B97" w:rsidRPr="00CF6E21">
        <w:rPr>
          <w:rFonts w:cs="Times New Roman"/>
        </w:rPr>
        <w:t>–</w:t>
      </w:r>
      <w:r w:rsidRPr="00CF6E21">
        <w:rPr>
          <w:rFonts w:cs="Times New Roman"/>
        </w:rPr>
        <w:t xml:space="preserve"> rashodi</w:t>
      </w:r>
      <w:r w:rsidR="00AC4B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za</w:t>
      </w:r>
      <w:r w:rsidR="00AC4B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materijal i energiju bilježi</w:t>
      </w:r>
      <w:r w:rsidR="00AC4B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se</w:t>
      </w:r>
      <w:r w:rsidR="00AC4B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povećanje rashoda, prvenstveno radi porasta cijene energenata, kao i materijala za potrebe Glavnog laboratorija za vode.</w:t>
      </w:r>
    </w:p>
    <w:p w14:paraId="19DD571A" w14:textId="77777777" w:rsidR="00CD479A" w:rsidRPr="00CF6E21" w:rsidRDefault="00CD479A">
      <w:pPr>
        <w:rPr>
          <w:rFonts w:cs="Times New Roman"/>
        </w:rPr>
      </w:pPr>
    </w:p>
    <w:p w14:paraId="5B634621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77FA68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636F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8109A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1C07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2150A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DD8C1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13FD4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3A6432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7ACB8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9E695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D6DE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2DC7E" w14:textId="66144850" w:rsidR="00CD479A" w:rsidRPr="001462D7" w:rsidRDefault="001D2147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6.167.897,27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17916" w14:textId="5AED3807" w:rsidR="00CD479A" w:rsidRPr="001462D7" w:rsidRDefault="005B2599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8.684.138,60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EF404" w14:textId="405BFF8D" w:rsidR="00CD479A" w:rsidRPr="001462D7" w:rsidRDefault="00B41B6F" w:rsidP="00C2480B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140,</w:t>
            </w:r>
            <w:r w:rsidR="00C2480B" w:rsidRPr="001462D7">
              <w:rPr>
                <w:rFonts w:cs="Times New Roman"/>
                <w:sz w:val="18"/>
                <w:szCs w:val="18"/>
              </w:rPr>
              <w:t>80</w:t>
            </w:r>
          </w:p>
        </w:tc>
      </w:tr>
    </w:tbl>
    <w:p w14:paraId="30E0B2D4" w14:textId="77777777" w:rsidR="00CD479A" w:rsidRPr="00CF6E21" w:rsidRDefault="00CD479A">
      <w:pPr>
        <w:spacing w:after="0"/>
        <w:rPr>
          <w:rFonts w:cs="Times New Roman"/>
        </w:rPr>
      </w:pPr>
    </w:p>
    <w:p w14:paraId="373938E5" w14:textId="0FC00D23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Unutar podskupine 323</w:t>
      </w:r>
      <w:r w:rsidR="00E52C0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 rashodi za usluge bilježi se značajno povećanje rashoda, prvenstveno u okviru odjeljka 3236</w:t>
      </w:r>
      <w:r w:rsidR="00E52C0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</w:t>
      </w:r>
      <w:r w:rsidR="00E52C0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ostale usluge, a radi provedbe ugovora za monitoring,</w:t>
      </w:r>
      <w:r w:rsidR="00C05E6B" w:rsidRPr="00CF6E21">
        <w:rPr>
          <w:rFonts w:cs="Times New Roman"/>
        </w:rPr>
        <w:t xml:space="preserve"> s obzirom da je</w:t>
      </w:r>
      <w:r w:rsidRPr="00CF6E21">
        <w:rPr>
          <w:rFonts w:cs="Times New Roman"/>
        </w:rPr>
        <w:t xml:space="preserve">  u trogodišnjem ciklusu monitoringa za razdoblje 2022.</w:t>
      </w:r>
      <w:r w:rsidR="00C05E6B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</w:t>
      </w:r>
      <w:r w:rsidR="00C05E6B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2024. godine</w:t>
      </w:r>
      <w:r w:rsidR="00C05E6B" w:rsidRPr="00CF6E21">
        <w:rPr>
          <w:rFonts w:cs="Times New Roman"/>
        </w:rPr>
        <w:t xml:space="preserve"> završetak ugovora bio u 2025. godini te sukladno tome i zaprimljene</w:t>
      </w:r>
      <w:r w:rsidR="00FC088F" w:rsidRPr="00CF6E21">
        <w:rPr>
          <w:rFonts w:cs="Times New Roman"/>
        </w:rPr>
        <w:t xml:space="preserve"> fakture za</w:t>
      </w:r>
      <w:r w:rsidR="00C05E6B" w:rsidRPr="00CF6E21">
        <w:rPr>
          <w:rFonts w:cs="Times New Roman"/>
        </w:rPr>
        <w:t xml:space="preserve"> okončane situacije.</w:t>
      </w:r>
      <w:r w:rsidRPr="00CF6E21">
        <w:rPr>
          <w:rFonts w:cs="Times New Roman"/>
        </w:rPr>
        <w:t xml:space="preserve"> </w:t>
      </w:r>
      <w:r w:rsidR="00164F2F" w:rsidRPr="00CF6E21">
        <w:rPr>
          <w:rFonts w:cs="Times New Roman"/>
        </w:rPr>
        <w:t xml:space="preserve">Nadalje, u 2025. godini fakturirane su i obveze ugovora sklopljenih u 2024. godini, te dio obveza po ugovorima sklopljenim u 2025. godini. </w:t>
      </w:r>
      <w:r w:rsidRPr="00CF6E21">
        <w:rPr>
          <w:rFonts w:cs="Times New Roman"/>
        </w:rPr>
        <w:t>Ovi rashodi po prvi puta evidentirani su na ovom odjeljku sukladno mišljenju Ministarstva financija dok su u ranijim izvještajima iskazani u okviru odjeljka 3239. U okviru ove podskupine porast rashoda vidljiv je na odjeljku 3235 radi porasta cijene zakupa uredskog prostora</w:t>
      </w:r>
      <w:r w:rsidR="001C2455" w:rsidRPr="00CF6E21">
        <w:rPr>
          <w:rFonts w:cs="Times New Roman"/>
        </w:rPr>
        <w:t xml:space="preserve"> te odjeljku 3238</w:t>
      </w:r>
      <w:r w:rsidR="00E52C07" w:rsidRPr="00CF6E21">
        <w:rPr>
          <w:rFonts w:cs="Times New Roman"/>
        </w:rPr>
        <w:t xml:space="preserve"> </w:t>
      </w:r>
      <w:r w:rsidR="001C2455" w:rsidRPr="00CF6E21">
        <w:rPr>
          <w:rFonts w:cs="Times New Roman"/>
        </w:rPr>
        <w:t>-</w:t>
      </w:r>
      <w:r w:rsidR="00E52C07" w:rsidRPr="00CF6E21">
        <w:rPr>
          <w:rFonts w:cs="Times New Roman"/>
        </w:rPr>
        <w:t xml:space="preserve"> </w:t>
      </w:r>
      <w:r w:rsidR="001C2455" w:rsidRPr="00CF6E21">
        <w:rPr>
          <w:rFonts w:cs="Times New Roman"/>
        </w:rPr>
        <w:t xml:space="preserve">računalne usluge radi </w:t>
      </w:r>
      <w:r w:rsidR="0A573B9B" w:rsidRPr="00CF6E21">
        <w:rPr>
          <w:rFonts w:cs="Times New Roman"/>
        </w:rPr>
        <w:t>softverskog</w:t>
      </w:r>
      <w:r w:rsidR="001C2455" w:rsidRPr="00CF6E21">
        <w:rPr>
          <w:rFonts w:cs="Times New Roman"/>
        </w:rPr>
        <w:t xml:space="preserve"> razvoja laboratori</w:t>
      </w:r>
      <w:r w:rsidR="008D14C3" w:rsidRPr="00CF6E21">
        <w:rPr>
          <w:rFonts w:cs="Times New Roman"/>
        </w:rPr>
        <w:t>jskog</w:t>
      </w:r>
      <w:r w:rsidR="001C2455" w:rsidRPr="00CF6E21">
        <w:rPr>
          <w:rFonts w:cs="Times New Roman"/>
        </w:rPr>
        <w:t xml:space="preserve"> informacijskog sust</w:t>
      </w:r>
      <w:r w:rsidR="008D14C3" w:rsidRPr="00CF6E21">
        <w:rPr>
          <w:rFonts w:cs="Times New Roman"/>
        </w:rPr>
        <w:t>ava za potrebe glavnog laboratorija.</w:t>
      </w:r>
    </w:p>
    <w:p w14:paraId="294886C7" w14:textId="77777777" w:rsidR="00CD479A" w:rsidRPr="00CF6E21" w:rsidRDefault="00CD479A">
      <w:pPr>
        <w:rPr>
          <w:rFonts w:cs="Times New Roman"/>
        </w:rPr>
      </w:pPr>
    </w:p>
    <w:p w14:paraId="5E67551C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5B20CE5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904B0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5B4E5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990AD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034B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3DBC1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22B38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084414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8FF5B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9036D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53D5F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03802" w14:textId="4C48D72B" w:rsidR="00CD479A" w:rsidRPr="001462D7" w:rsidRDefault="001E7C5F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75.115,64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17E0B" w14:textId="16672F2B" w:rsidR="00CD479A" w:rsidRPr="001462D7" w:rsidRDefault="00F01BD0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47.029,86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D3340" w14:textId="6613244E" w:rsidR="00CD479A" w:rsidRPr="001462D7" w:rsidRDefault="00797C2D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62,6</w:t>
            </w:r>
            <w:r w:rsidR="009C4684" w:rsidRPr="001462D7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36D2CB2A" w14:textId="77777777" w:rsidR="00CD479A" w:rsidRPr="00CF6E21" w:rsidRDefault="00CD479A">
      <w:pPr>
        <w:spacing w:after="0"/>
        <w:rPr>
          <w:rFonts w:cs="Times New Roman"/>
        </w:rPr>
      </w:pPr>
    </w:p>
    <w:p w14:paraId="4FC8D63C" w14:textId="26381525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Unutar podskupine 329</w:t>
      </w:r>
      <w:r w:rsidR="00F373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 ostali nespomenuti rashodi poslovanja bilježi se smanjenje rashoda u okviru rashoda za rad Upravnog vijeća, budući je broj članova u tekućem razdoblju manji u odnosu na isto razdoblje prošle godine te uzimajući u obzir smanjenje rashoda za reprezentaciju</w:t>
      </w:r>
      <w:r w:rsidR="008D14C3" w:rsidRPr="00CF6E21">
        <w:rPr>
          <w:rFonts w:cs="Times New Roman"/>
        </w:rPr>
        <w:t>, premije osiguranja te pristojbe i naknade.</w:t>
      </w:r>
    </w:p>
    <w:p w14:paraId="66CF9CAD" w14:textId="77777777" w:rsidR="00CD479A" w:rsidRPr="00CF6E21" w:rsidRDefault="00CD479A">
      <w:pPr>
        <w:rPr>
          <w:rFonts w:cs="Times New Roman"/>
        </w:rPr>
      </w:pPr>
    </w:p>
    <w:p w14:paraId="45BA93BB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71A0C8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24294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0F2D8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2275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3C21D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AA3AF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63F8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3964D8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941F4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41245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DB8BB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4CBB5" w14:textId="726C35DB" w:rsidR="00CD479A" w:rsidRPr="001462D7" w:rsidRDefault="00F719DC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42,55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79633" w14:textId="671BF646" w:rsidR="00CD479A" w:rsidRPr="001462D7" w:rsidRDefault="0010741D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70,09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A0C41" w14:textId="2AB898B5" w:rsidR="00CD479A" w:rsidRPr="001462D7" w:rsidRDefault="00AB08C7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164,72</w:t>
            </w:r>
          </w:p>
        </w:tc>
      </w:tr>
    </w:tbl>
    <w:p w14:paraId="6CD1A95F" w14:textId="77777777" w:rsidR="00CD479A" w:rsidRPr="00CF6E21" w:rsidRDefault="00CD479A">
      <w:pPr>
        <w:spacing w:after="0"/>
        <w:rPr>
          <w:rFonts w:cs="Times New Roman"/>
        </w:rPr>
      </w:pPr>
    </w:p>
    <w:p w14:paraId="425B8551" w14:textId="6AB2ED7B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Rashodi evidentirani na  skupini računa 34</w:t>
      </w:r>
      <w:r w:rsidR="00F373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</w:t>
      </w:r>
      <w:r w:rsidR="00F373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financijski rashodi  bilježe povećanje u odnosu na prethodno razdoblje obzirom su na istom iskazani rashodi za zatezne kamate</w:t>
      </w:r>
      <w:r w:rsidR="005971D0">
        <w:rPr>
          <w:rFonts w:cs="Times New Roman"/>
        </w:rPr>
        <w:t>.</w:t>
      </w:r>
    </w:p>
    <w:p w14:paraId="4C164C2B" w14:textId="77777777" w:rsidR="00CD479A" w:rsidRPr="00CF6E21" w:rsidRDefault="00CD479A">
      <w:pPr>
        <w:rPr>
          <w:rFonts w:cs="Times New Roman"/>
        </w:rPr>
      </w:pPr>
    </w:p>
    <w:p w14:paraId="0E74DC00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10.</w:t>
      </w:r>
    </w:p>
    <w:p w14:paraId="15817E1C" w14:textId="64F91AAE" w:rsidR="00FD35D5" w:rsidRPr="00CF6E21" w:rsidRDefault="00FD35D5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Višak prihoda i primitaka ostvaren  za tekuće izvještajno razdbolje u iznosu od 488.448,34 eura rezultat je više uplaćenih planiranih prihoda u odnosu na rashode radi, planiranog prijenosa sredstava u 2026. godinu.</w:t>
      </w:r>
    </w:p>
    <w:p w14:paraId="3CB2A256" w14:textId="7115A2CA" w:rsidR="00CC18C5" w:rsidRPr="00CF6E21" w:rsidRDefault="00CC18C5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Višak prihoda poslovanja raspoloživ u slijedećem razdoblju iznosi 489.322,72 eura, što je rezultat viška p</w:t>
      </w:r>
      <w:r w:rsidR="00C83A56" w:rsidRPr="00CF6E21">
        <w:rPr>
          <w:rFonts w:cs="Times New Roman"/>
        </w:rPr>
        <w:t>r</w:t>
      </w:r>
      <w:r w:rsidRPr="00CF6E21">
        <w:rPr>
          <w:rFonts w:cs="Times New Roman"/>
        </w:rPr>
        <w:t>ihoda tekućeg razdoblja i prenesenog viška iz 2024. godine.</w:t>
      </w:r>
    </w:p>
    <w:p w14:paraId="5AD4E9EE" w14:textId="23CFB7A3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 financijskim izvještajima za 202</w:t>
      </w:r>
      <w:r w:rsidR="004D3277" w:rsidRPr="00CF6E21">
        <w:rPr>
          <w:rFonts w:cs="Times New Roman"/>
        </w:rPr>
        <w:t>5</w:t>
      </w:r>
      <w:r w:rsidRPr="00CF6E21">
        <w:rPr>
          <w:rFonts w:cs="Times New Roman"/>
        </w:rPr>
        <w:t>. godinu na računu 922</w:t>
      </w:r>
      <w:r w:rsidR="00D331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-</w:t>
      </w:r>
      <w:r w:rsidR="00D33197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 xml:space="preserve">višak/manjak prihoda iskazan je ukupan višak prihoda i primitaka za prijenos u slijedeće razdoblje u iznosu od </w:t>
      </w:r>
      <w:r w:rsidR="004D3277" w:rsidRPr="00CF6E21">
        <w:rPr>
          <w:rFonts w:cs="Times New Roman"/>
        </w:rPr>
        <w:t>874,38</w:t>
      </w:r>
      <w:r w:rsidRPr="00CF6E21">
        <w:rPr>
          <w:rFonts w:cs="Times New Roman"/>
        </w:rPr>
        <w:t xml:space="preserve"> eur. Do razlike u odnosu na preneseni višak prihoda iz 2024. godine</w:t>
      </w:r>
      <w:r w:rsidR="004D3277" w:rsidRPr="00CF6E21">
        <w:rPr>
          <w:rFonts w:cs="Times New Roman"/>
        </w:rPr>
        <w:t xml:space="preserve"> u iznosu od 791,53 eura</w:t>
      </w:r>
      <w:r w:rsidRPr="00CF6E21">
        <w:rPr>
          <w:rFonts w:cs="Times New Roman"/>
        </w:rPr>
        <w:t>, došlo je zbog korekcije rezultata radi usklađenja po izvršenom povratu od strane Porezne uprave, Hep plina i HZJZ u sveukupnom iznosu od 82,85 eur.</w:t>
      </w:r>
    </w:p>
    <w:p w14:paraId="351F2A5A" w14:textId="77777777" w:rsidR="00CD479A" w:rsidRPr="00CF6E21" w:rsidRDefault="00CD479A">
      <w:pPr>
        <w:rPr>
          <w:rFonts w:cs="Times New Roman"/>
        </w:rPr>
      </w:pPr>
    </w:p>
    <w:p w14:paraId="07A87ED6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479A" w:rsidRPr="00CF6E21" w14:paraId="25565E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69DC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094F2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EC8B9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765FC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022EE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8C8A5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5B4001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1DE39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72CF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3D351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ECC5A" w14:textId="1855BA74" w:rsidR="00CD479A" w:rsidRPr="001462D7" w:rsidRDefault="009355A7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275.864,90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27156" w14:textId="3EDB92D0" w:rsidR="00CD479A" w:rsidRPr="001462D7" w:rsidRDefault="009355A7" w:rsidP="00FA678B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266.564,6</w:t>
            </w:r>
            <w:r w:rsidR="00FA678B" w:rsidRPr="001462D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2C584" w14:textId="3B6DE680" w:rsidR="00CD479A" w:rsidRPr="001462D7" w:rsidRDefault="00FA678B" w:rsidP="009C4684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96,6</w:t>
            </w:r>
            <w:r w:rsidR="009C4684" w:rsidRPr="001462D7">
              <w:rPr>
                <w:rFonts w:cs="Times New Roman"/>
                <w:sz w:val="18"/>
                <w:szCs w:val="18"/>
              </w:rPr>
              <w:t>3</w:t>
            </w:r>
          </w:p>
        </w:tc>
      </w:tr>
    </w:tbl>
    <w:p w14:paraId="417A7D08" w14:textId="77777777" w:rsidR="00CD479A" w:rsidRPr="00CF6E21" w:rsidRDefault="00CD479A">
      <w:pPr>
        <w:spacing w:after="0"/>
        <w:rPr>
          <w:rFonts w:cs="Times New Roman"/>
        </w:rPr>
      </w:pPr>
    </w:p>
    <w:p w14:paraId="2E9E9CBC" w14:textId="453B23D2" w:rsidR="00C4042A" w:rsidRPr="00CF6E21" w:rsidRDefault="00C4042A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U okviru odjeljka 4221 – uredska oprema i namještaj izvršeni su rashodi za nabavu računala i računalne opreme.</w:t>
      </w:r>
    </w:p>
    <w:p w14:paraId="747C2E19" w14:textId="44906038" w:rsidR="00E23F17" w:rsidRPr="00CF6E21" w:rsidRDefault="00C4042A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lastRenderedPageBreak/>
        <w:t>U</w:t>
      </w:r>
      <w:r w:rsidR="00065F71" w:rsidRPr="00CF6E21">
        <w:rPr>
          <w:rFonts w:cs="Times New Roman"/>
        </w:rPr>
        <w:t xml:space="preserve"> okviru odjeljka 4224</w:t>
      </w:r>
      <w:r w:rsidR="00E23F17" w:rsidRPr="00CF6E21">
        <w:rPr>
          <w:rFonts w:cs="Times New Roman"/>
        </w:rPr>
        <w:t xml:space="preserve"> </w:t>
      </w:r>
      <w:r w:rsidR="00065F71" w:rsidRPr="00CF6E21">
        <w:rPr>
          <w:rFonts w:cs="Times New Roman"/>
        </w:rPr>
        <w:t>-</w:t>
      </w:r>
      <w:r w:rsidR="00E23F17" w:rsidRPr="00CF6E21">
        <w:rPr>
          <w:rFonts w:cs="Times New Roman"/>
        </w:rPr>
        <w:t xml:space="preserve"> </w:t>
      </w:r>
      <w:r w:rsidR="00065F71" w:rsidRPr="00CF6E21">
        <w:rPr>
          <w:rFonts w:cs="Times New Roman"/>
        </w:rPr>
        <w:t>medicinska i laboratorijska oprema tijekom ove godine izvršeni su rashodi za nabavu automatiziranog sustava za analizu pH,</w:t>
      </w:r>
      <w:r w:rsidR="00E23F17" w:rsidRPr="00CF6E21">
        <w:rPr>
          <w:rFonts w:cs="Times New Roman"/>
        </w:rPr>
        <w:t xml:space="preserve"> uređaja za određivanje adsorbilnih organskih halogena (AOX), sustava za filtraciju s praćenjem diferencijalnog tlaka, protoka te mogućnošću kontrole i</w:t>
      </w:r>
      <w:r w:rsidR="00357E41" w:rsidRPr="00CF6E21">
        <w:rPr>
          <w:rFonts w:cs="Times New Roman"/>
        </w:rPr>
        <w:t>n</w:t>
      </w:r>
      <w:r w:rsidR="00E23F17" w:rsidRPr="00CF6E21">
        <w:rPr>
          <w:rFonts w:cs="Times New Roman"/>
        </w:rPr>
        <w:t>tegriteta,</w:t>
      </w:r>
      <w:r w:rsidR="00065F71" w:rsidRPr="00CF6E21">
        <w:rPr>
          <w:rFonts w:cs="Times New Roman"/>
        </w:rPr>
        <w:t xml:space="preserve"> uređaja za pripremu uzoraka te ostalih laboratorijskih uređaja za potrebe opremanja Glavnog laboratorija za vode Instituta. </w:t>
      </w:r>
    </w:p>
    <w:p w14:paraId="131B79A5" w14:textId="1C22F8E3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 xml:space="preserve">U okviru odjeljka </w:t>
      </w:r>
      <w:r w:rsidR="00E020C9" w:rsidRPr="00CF6E21">
        <w:rPr>
          <w:rFonts w:cs="Times New Roman"/>
        </w:rPr>
        <w:t>4233</w:t>
      </w:r>
      <w:r w:rsidR="00E23F17" w:rsidRPr="00CF6E21">
        <w:rPr>
          <w:rFonts w:cs="Times New Roman"/>
        </w:rPr>
        <w:t xml:space="preserve"> </w:t>
      </w:r>
      <w:r w:rsidR="00E020C9" w:rsidRPr="00CF6E21">
        <w:rPr>
          <w:rFonts w:cs="Times New Roman"/>
        </w:rPr>
        <w:t>-</w:t>
      </w:r>
      <w:r w:rsidR="00E23F17" w:rsidRPr="00CF6E21">
        <w:rPr>
          <w:rFonts w:cs="Times New Roman"/>
        </w:rPr>
        <w:t xml:space="preserve"> </w:t>
      </w:r>
      <w:r w:rsidR="00E020C9" w:rsidRPr="00CF6E21">
        <w:rPr>
          <w:rFonts w:cs="Times New Roman"/>
        </w:rPr>
        <w:t xml:space="preserve">prijevozna sredstva u pomorskom i riječnom prometu evidentirani su rashodi za nabavu električnog vanbrodskog motora te u okviru odjeljka </w:t>
      </w:r>
      <w:r w:rsidRPr="00CF6E21">
        <w:rPr>
          <w:rFonts w:cs="Times New Roman"/>
        </w:rPr>
        <w:t>4262</w:t>
      </w:r>
      <w:r w:rsidR="00860364" w:rsidRPr="00CF6E21">
        <w:rPr>
          <w:rFonts w:cs="Times New Roman"/>
        </w:rPr>
        <w:t xml:space="preserve"> </w:t>
      </w:r>
      <w:r w:rsidR="00E020C9" w:rsidRPr="00CF6E21">
        <w:rPr>
          <w:rFonts w:cs="Times New Roman"/>
        </w:rPr>
        <w:t>-</w:t>
      </w:r>
      <w:r w:rsidR="00860364" w:rsidRPr="00CF6E21">
        <w:rPr>
          <w:rFonts w:cs="Times New Roman"/>
        </w:rPr>
        <w:t xml:space="preserve"> </w:t>
      </w:r>
      <w:r w:rsidR="00E020C9" w:rsidRPr="00CF6E21">
        <w:rPr>
          <w:rFonts w:cs="Times New Roman"/>
        </w:rPr>
        <w:t xml:space="preserve">ulaganja u računalne programe </w:t>
      </w:r>
      <w:r w:rsidRPr="00CF6E21">
        <w:rPr>
          <w:rFonts w:cs="Times New Roman"/>
        </w:rPr>
        <w:t>evidentirani su rashodi za nadogradnju laboratorijskog informacijskog sustava</w:t>
      </w:r>
      <w:r w:rsidR="00E020C9" w:rsidRPr="00CF6E21">
        <w:rPr>
          <w:rFonts w:cs="Times New Roman"/>
        </w:rPr>
        <w:t>.</w:t>
      </w:r>
    </w:p>
    <w:p w14:paraId="20166B56" w14:textId="77777777" w:rsidR="00CD479A" w:rsidRPr="00CF6E21" w:rsidRDefault="00CD479A">
      <w:pPr>
        <w:rPr>
          <w:rFonts w:cs="Times New Roman"/>
        </w:rPr>
      </w:pPr>
    </w:p>
    <w:p w14:paraId="17208528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  <w:b/>
        </w:rPr>
        <w:t>Izvještaj o obvezama</w:t>
      </w:r>
    </w:p>
    <w:p w14:paraId="55A10AE0" w14:textId="77777777" w:rsidR="00CD479A" w:rsidRPr="00CF6E21" w:rsidRDefault="00065F71">
      <w:pPr>
        <w:keepNext/>
        <w:spacing w:line="240" w:lineRule="auto"/>
        <w:jc w:val="center"/>
        <w:rPr>
          <w:rFonts w:cs="Times New Roman"/>
        </w:rPr>
      </w:pPr>
      <w:r w:rsidRPr="00CF6E21">
        <w:rPr>
          <w:rFonts w:cs="Times New Roman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D479A" w:rsidRPr="00CF6E21" w14:paraId="6CD12D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B07D2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7D1F6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EBFEE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5E727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186E8" w14:textId="77777777" w:rsidR="00CD479A" w:rsidRPr="00D62091" w:rsidRDefault="00065F71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62091">
              <w:rPr>
                <w:rFonts w:cs="Times New Roman"/>
                <w:b/>
                <w:sz w:val="18"/>
                <w:szCs w:val="18"/>
              </w:rPr>
              <w:t>Indeks (%)</w:t>
            </w:r>
          </w:p>
        </w:tc>
      </w:tr>
      <w:tr w:rsidR="00CD479A" w:rsidRPr="00CF6E21" w14:paraId="5AF3EA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D47B3" w14:textId="77777777" w:rsidR="00CD479A" w:rsidRPr="001462D7" w:rsidRDefault="00CD479A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470F8" w14:textId="77777777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EDD37" w14:textId="2AF91D4F" w:rsidR="00CD479A" w:rsidRPr="001462D7" w:rsidRDefault="00065F71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V00</w:t>
            </w:r>
            <w:r w:rsidR="007C0018" w:rsidRPr="001462D7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98262" w14:textId="436FE61F" w:rsidR="00CD479A" w:rsidRPr="001462D7" w:rsidRDefault="00D01EF5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BF007" w14:textId="77777777" w:rsidR="00CD479A" w:rsidRPr="001462D7" w:rsidRDefault="00065F71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1462D7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5A884A48" w14:textId="77777777" w:rsidR="00CD479A" w:rsidRPr="00CF6E21" w:rsidRDefault="00CD479A">
      <w:pPr>
        <w:spacing w:after="0"/>
        <w:rPr>
          <w:rFonts w:cs="Times New Roman"/>
        </w:rPr>
      </w:pPr>
    </w:p>
    <w:p w14:paraId="3996913C" w14:textId="74D056DB" w:rsidR="00CD479A" w:rsidRPr="00CF6E21" w:rsidRDefault="00065F71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 xml:space="preserve">Obveze Instituta za vode "Josip Juraj Strossmayer" na dan </w:t>
      </w:r>
      <w:r w:rsidR="0010741D" w:rsidRPr="00CF6E21">
        <w:rPr>
          <w:rFonts w:cs="Times New Roman"/>
        </w:rPr>
        <w:t>31.12</w:t>
      </w:r>
      <w:r w:rsidRPr="00CF6E21">
        <w:rPr>
          <w:rFonts w:cs="Times New Roman"/>
        </w:rPr>
        <w:t xml:space="preserve">.2025. godine iznose </w:t>
      </w:r>
      <w:r w:rsidR="0010741D" w:rsidRPr="00CF6E21">
        <w:rPr>
          <w:rFonts w:cs="Times New Roman"/>
        </w:rPr>
        <w:t>326.729,83</w:t>
      </w:r>
      <w:r w:rsidRPr="00CF6E21">
        <w:rPr>
          <w:rFonts w:cs="Times New Roman"/>
        </w:rPr>
        <w:t xml:space="preserve"> eur te su sve nedospjele.</w:t>
      </w:r>
    </w:p>
    <w:p w14:paraId="5C3262CC" w14:textId="77777777" w:rsidR="00A366F8" w:rsidRPr="00CF6E21" w:rsidRDefault="00A366F8">
      <w:pPr>
        <w:spacing w:line="240" w:lineRule="auto"/>
        <w:jc w:val="both"/>
        <w:rPr>
          <w:rFonts w:cs="Times New Roman"/>
        </w:rPr>
      </w:pPr>
    </w:p>
    <w:p w14:paraId="56F870C3" w14:textId="61575006" w:rsidR="00A366F8" w:rsidRPr="00CF6E21" w:rsidRDefault="00A366F8" w:rsidP="00EB7557">
      <w:pPr>
        <w:ind w:left="720" w:hanging="720"/>
        <w:jc w:val="center"/>
        <w:rPr>
          <w:rFonts w:eastAsia="Times New Roman" w:cs="Times New Roman"/>
          <w:b/>
        </w:rPr>
      </w:pPr>
      <w:r w:rsidRPr="00CF6E21">
        <w:rPr>
          <w:rFonts w:cs="Times New Roman"/>
          <w:b/>
        </w:rPr>
        <w:t>Bilanca</w:t>
      </w:r>
    </w:p>
    <w:p w14:paraId="140ACAC6" w14:textId="364251E2" w:rsidR="00A366F8" w:rsidRPr="00CF6E21" w:rsidRDefault="002E32FB" w:rsidP="00255D96">
      <w:pPr>
        <w:spacing w:after="200"/>
        <w:jc w:val="center"/>
        <w:rPr>
          <w:rFonts w:eastAsia="Calibri" w:cs="Times New Roman"/>
          <w:b/>
          <w:bCs/>
          <w:i/>
          <w:iCs/>
          <w:smallCaps/>
          <w:spacing w:val="5"/>
          <w:u w:val="single"/>
          <w:lang w:eastAsia="en-US"/>
        </w:rPr>
      </w:pPr>
      <w:bookmarkStart w:id="0" w:name="_Hlk220065149"/>
      <w:r w:rsidRPr="00CF6E21">
        <w:rPr>
          <w:rFonts w:cs="Times New Roman"/>
        </w:rPr>
        <w:t xml:space="preserve">Bilješka </w:t>
      </w:r>
      <w:r w:rsidR="005916CC" w:rsidRPr="00CF6E21">
        <w:rPr>
          <w:rFonts w:cs="Times New Roman"/>
        </w:rPr>
        <w:t>13.</w:t>
      </w:r>
      <w:bookmarkEnd w:id="0"/>
    </w:p>
    <w:p w14:paraId="2F8889AF" w14:textId="77777777" w:rsidR="00A366F8" w:rsidRPr="00CF6E21" w:rsidRDefault="00A366F8" w:rsidP="00A366F8">
      <w:pPr>
        <w:jc w:val="both"/>
        <w:rPr>
          <w:rFonts w:eastAsia="Times New Roman" w:cs="Times New Roman"/>
        </w:rPr>
      </w:pPr>
      <w:r w:rsidRPr="00CF6E21">
        <w:rPr>
          <w:rFonts w:cs="Times New Roman"/>
        </w:rPr>
        <w:t xml:space="preserve">Stanje osnovnih sredstava po analitičkom knjigovodstvu osnovnih sredstava i stanje na računima glavne knjige 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A366F8" w:rsidRPr="00CF6E21" w14:paraId="56652DD1" w14:textId="77777777" w:rsidTr="008E44E1">
        <w:tc>
          <w:tcPr>
            <w:tcW w:w="9026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8"/>
              <w:gridCol w:w="4402"/>
            </w:tblGrid>
            <w:tr w:rsidR="00A366F8" w:rsidRPr="00CF6E21" w14:paraId="6D2738EC" w14:textId="77777777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FC7A" w14:textId="77777777" w:rsidR="00A366F8" w:rsidRPr="00CF6E21" w:rsidRDefault="00A366F8">
                  <w:pPr>
                    <w:jc w:val="both"/>
                    <w:rPr>
                      <w:rFonts w:cs="Times New Roman"/>
                      <w:b/>
                      <w:bCs/>
                    </w:rPr>
                  </w:pPr>
                  <w:r w:rsidRPr="00CF6E21">
                    <w:rPr>
                      <w:rFonts w:cs="Times New Roman"/>
                    </w:rPr>
                    <w:t>02 Proizvedena dugotrajna imovina</w:t>
                  </w:r>
                </w:p>
                <w:p w14:paraId="4BF89BE0" w14:textId="77777777" w:rsidR="00A366F8" w:rsidRPr="00CF6E21" w:rsidRDefault="00A366F8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CC20" w14:textId="6EEA160C" w:rsidR="00A366F8" w:rsidRPr="00CF6E21" w:rsidRDefault="005916CC">
                  <w:pPr>
                    <w:jc w:val="right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4.927.689,22</w:t>
                  </w:r>
                </w:p>
                <w:p w14:paraId="3723A2BF" w14:textId="77777777" w:rsidR="00A366F8" w:rsidRPr="00CF6E21" w:rsidRDefault="00A366F8">
                  <w:pPr>
                    <w:jc w:val="right"/>
                    <w:rPr>
                      <w:rFonts w:cs="Times New Roman"/>
                    </w:rPr>
                  </w:pPr>
                </w:p>
              </w:tc>
            </w:tr>
            <w:tr w:rsidR="00A366F8" w:rsidRPr="00CF6E21" w14:paraId="7C26146E" w14:textId="77777777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FB723" w14:textId="77777777" w:rsidR="00A366F8" w:rsidRPr="00CF6E21" w:rsidRDefault="00A366F8">
                  <w:pPr>
                    <w:jc w:val="both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 xml:space="preserve">03 Plemeniti metali i ostale pohranjene vrijednosti </w:t>
                  </w:r>
                </w:p>
              </w:tc>
              <w:tc>
                <w:tcPr>
                  <w:tcW w:w="4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187DE" w14:textId="77777777" w:rsidR="00A366F8" w:rsidRPr="00CF6E21" w:rsidRDefault="00A366F8">
                  <w:pPr>
                    <w:jc w:val="right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10.305,33</w:t>
                  </w:r>
                </w:p>
              </w:tc>
            </w:tr>
          </w:tbl>
          <w:p w14:paraId="5BEAB66C" w14:textId="77777777" w:rsidR="00A366F8" w:rsidRPr="00CF6E21" w:rsidRDefault="00A366F8">
            <w:pPr>
              <w:jc w:val="both"/>
              <w:rPr>
                <w:rFonts w:cs="Times New Roman"/>
              </w:rPr>
            </w:pPr>
          </w:p>
        </w:tc>
      </w:tr>
    </w:tbl>
    <w:p w14:paraId="029B89F0" w14:textId="77777777" w:rsidR="00A366F8" w:rsidRPr="00CF6E21" w:rsidRDefault="00A366F8" w:rsidP="00A366F8">
      <w:pPr>
        <w:jc w:val="both"/>
        <w:rPr>
          <w:rFonts w:cs="Times New Roman"/>
        </w:rPr>
      </w:pPr>
    </w:p>
    <w:p w14:paraId="0E814630" w14:textId="3AE111D3" w:rsidR="00EB7557" w:rsidRPr="00CF6E21" w:rsidRDefault="00A366F8" w:rsidP="00A366F8">
      <w:pPr>
        <w:spacing w:line="276" w:lineRule="auto"/>
        <w:jc w:val="both"/>
        <w:rPr>
          <w:rFonts w:cs="Times New Roman"/>
        </w:rPr>
      </w:pPr>
      <w:r w:rsidRPr="00CF6E21">
        <w:rPr>
          <w:rFonts w:cs="Times New Roman"/>
        </w:rPr>
        <w:t>Promjene na računima imovine u odnosu na 202</w:t>
      </w:r>
      <w:r w:rsidR="008B75ED" w:rsidRPr="00CF6E21">
        <w:rPr>
          <w:rFonts w:cs="Times New Roman"/>
        </w:rPr>
        <w:t>4</w:t>
      </w:r>
      <w:r w:rsidRPr="00CF6E21">
        <w:rPr>
          <w:rFonts w:cs="Times New Roman"/>
        </w:rPr>
        <w:t>. godinu, odnose se na evidentiranje novonabavljene opreme</w:t>
      </w:r>
      <w:r w:rsidR="005971D0">
        <w:rPr>
          <w:rFonts w:cs="Times New Roman"/>
        </w:rPr>
        <w:t>, provedeni ispravak vrijednosti na dan 31.12.2025. godine te isknjiženje</w:t>
      </w:r>
      <w:r w:rsidRPr="00CF6E21">
        <w:rPr>
          <w:rFonts w:cs="Times New Roman"/>
        </w:rPr>
        <w:t xml:space="preserve"> </w:t>
      </w:r>
      <w:r w:rsidR="005971D0">
        <w:rPr>
          <w:rFonts w:cs="Times New Roman"/>
        </w:rPr>
        <w:t>rashodovane</w:t>
      </w:r>
      <w:r w:rsidR="00E57D7C">
        <w:rPr>
          <w:rFonts w:cs="Times New Roman"/>
        </w:rPr>
        <w:t xml:space="preserve"> i zbrinute</w:t>
      </w:r>
      <w:r w:rsidR="005971D0">
        <w:rPr>
          <w:rFonts w:cs="Times New Roman"/>
        </w:rPr>
        <w:t xml:space="preserve"> imovine</w:t>
      </w:r>
      <w:r w:rsidR="00E57D7C">
        <w:rPr>
          <w:rFonts w:cs="Times New Roman"/>
        </w:rPr>
        <w:t xml:space="preserve"> od ovlaštenih tvrtki za zbrinjavanje otpada.</w:t>
      </w:r>
    </w:p>
    <w:p w14:paraId="5A0945DB" w14:textId="77777777" w:rsidR="00E42502" w:rsidRPr="00CF6E21" w:rsidRDefault="00EB7557" w:rsidP="00EB7557">
      <w:pPr>
        <w:spacing w:line="276" w:lineRule="auto"/>
        <w:rPr>
          <w:rFonts w:eastAsia="Calibri" w:cs="Times New Roman"/>
          <w:b/>
          <w:bCs/>
          <w:smallCaps/>
          <w:spacing w:val="5"/>
          <w:lang w:eastAsia="en-US"/>
        </w:rPr>
      </w:pPr>
      <w:r w:rsidRPr="00CF6E21">
        <w:rPr>
          <w:rFonts w:cs="Times New Roman"/>
        </w:rPr>
        <w:t xml:space="preserve">                                                     </w:t>
      </w:r>
      <w:r w:rsidRPr="00CF6E21">
        <w:rPr>
          <w:rFonts w:eastAsia="Calibri" w:cs="Times New Roman"/>
          <w:b/>
          <w:bCs/>
          <w:smallCaps/>
          <w:spacing w:val="5"/>
          <w:lang w:eastAsia="en-US"/>
        </w:rPr>
        <w:t xml:space="preserve"> </w:t>
      </w:r>
    </w:p>
    <w:p w14:paraId="45CC0C8C" w14:textId="77777777" w:rsidR="00E42502" w:rsidRPr="00CF6E21" w:rsidRDefault="00E42502" w:rsidP="00EB7557">
      <w:pPr>
        <w:spacing w:line="276" w:lineRule="auto"/>
        <w:rPr>
          <w:rFonts w:eastAsia="Calibri" w:cs="Times New Roman"/>
          <w:b/>
          <w:bCs/>
          <w:smallCaps/>
          <w:spacing w:val="5"/>
          <w:lang w:eastAsia="en-US"/>
        </w:rPr>
      </w:pPr>
    </w:p>
    <w:p w14:paraId="60F58077" w14:textId="77777777" w:rsidR="00E42502" w:rsidRPr="00CF6E21" w:rsidRDefault="00E42502" w:rsidP="00EB7557">
      <w:pPr>
        <w:spacing w:line="276" w:lineRule="auto"/>
        <w:rPr>
          <w:rFonts w:eastAsia="Calibri" w:cs="Times New Roman"/>
          <w:b/>
          <w:bCs/>
          <w:smallCaps/>
          <w:spacing w:val="5"/>
          <w:lang w:eastAsia="en-US"/>
        </w:rPr>
      </w:pPr>
    </w:p>
    <w:p w14:paraId="67D484A4" w14:textId="034BDD13" w:rsidR="00E42502" w:rsidRDefault="00E42502" w:rsidP="00EB7557">
      <w:pPr>
        <w:spacing w:line="276" w:lineRule="auto"/>
        <w:rPr>
          <w:rFonts w:eastAsia="Calibri" w:cs="Times New Roman"/>
          <w:b/>
          <w:bCs/>
          <w:smallCaps/>
          <w:spacing w:val="5"/>
          <w:lang w:eastAsia="en-US"/>
        </w:rPr>
      </w:pPr>
    </w:p>
    <w:p w14:paraId="106CE365" w14:textId="77777777" w:rsidR="001462D7" w:rsidRPr="00CF6E21" w:rsidRDefault="001462D7" w:rsidP="00EB7557">
      <w:pPr>
        <w:spacing w:line="276" w:lineRule="auto"/>
        <w:rPr>
          <w:rFonts w:eastAsia="Calibri" w:cs="Times New Roman"/>
          <w:b/>
          <w:bCs/>
          <w:smallCaps/>
          <w:spacing w:val="5"/>
          <w:lang w:eastAsia="en-US"/>
        </w:rPr>
      </w:pPr>
    </w:p>
    <w:p w14:paraId="25FEBFE8" w14:textId="72DEB63B" w:rsidR="000F22F3" w:rsidRPr="00CF6E21" w:rsidRDefault="00EB7557" w:rsidP="00E42502">
      <w:pPr>
        <w:spacing w:line="276" w:lineRule="auto"/>
        <w:jc w:val="center"/>
        <w:rPr>
          <w:rFonts w:eastAsia="Calibri" w:cs="Times New Roman"/>
          <w:b/>
          <w:bCs/>
          <w:caps/>
          <w:spacing w:val="5"/>
          <w:u w:val="single"/>
          <w:lang w:eastAsia="en-US"/>
        </w:rPr>
      </w:pPr>
      <w:r w:rsidRPr="00CF6E21">
        <w:rPr>
          <w:rFonts w:cs="Times New Roman"/>
        </w:rPr>
        <w:t>Bilješka 14.</w:t>
      </w:r>
    </w:p>
    <w:p w14:paraId="640DA86C" w14:textId="2ED0C57A" w:rsidR="00A366F8" w:rsidRPr="00CF6E21" w:rsidRDefault="00A366F8" w:rsidP="00A366F8">
      <w:pPr>
        <w:spacing w:after="200"/>
        <w:jc w:val="both"/>
        <w:rPr>
          <w:rFonts w:eastAsia="Calibri" w:cs="Times New Roman"/>
          <w:b/>
          <w:bCs/>
          <w:caps/>
          <w:spacing w:val="5"/>
          <w:u w:val="single"/>
          <w:lang w:eastAsia="en-US"/>
        </w:rPr>
      </w:pPr>
      <w:r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 xml:space="preserve">Račun 1 - financijska imovina u ukupnom iznosu od </w:t>
      </w:r>
      <w:r w:rsidR="000557F4"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>816.052,55</w:t>
      </w:r>
    </w:p>
    <w:p w14:paraId="04D66EA3" w14:textId="77777777" w:rsidR="00327224" w:rsidRPr="00CF6E21" w:rsidRDefault="00327224" w:rsidP="00A366F8">
      <w:pPr>
        <w:tabs>
          <w:tab w:val="left" w:pos="8540"/>
        </w:tabs>
        <w:jc w:val="both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327224" w:rsidRPr="00CF6E21" w14:paraId="2D66315E" w14:textId="77777777" w:rsidTr="00F2414D">
        <w:tc>
          <w:tcPr>
            <w:tcW w:w="9026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6"/>
              <w:gridCol w:w="4394"/>
            </w:tblGrid>
            <w:tr w:rsidR="00327224" w:rsidRPr="00CF6E21" w14:paraId="247AECF2" w14:textId="77777777" w:rsidTr="00F2414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0FDEE" w14:textId="0CAABA26" w:rsidR="00327224" w:rsidRPr="00CF6E21" w:rsidRDefault="00327224" w:rsidP="00327224">
                  <w:pPr>
                    <w:tabs>
                      <w:tab w:val="left" w:pos="8540"/>
                    </w:tabs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12</w:t>
                  </w:r>
                  <w:r w:rsidR="00291614" w:rsidRPr="00CF6E21">
                    <w:rPr>
                      <w:rFonts w:cs="Times New Roman"/>
                    </w:rPr>
                    <w:t xml:space="preserve"> </w:t>
                  </w:r>
                  <w:r w:rsidRPr="00CF6E21">
                    <w:rPr>
                      <w:rFonts w:cs="Times New Roman"/>
                    </w:rPr>
                    <w:t>-</w:t>
                  </w:r>
                  <w:r w:rsidR="00291614" w:rsidRPr="00CF6E21">
                    <w:rPr>
                      <w:rFonts w:cs="Times New Roman"/>
                    </w:rPr>
                    <w:t xml:space="preserve"> </w:t>
                  </w:r>
                  <w:r w:rsidRPr="00CF6E21">
                    <w:rPr>
                      <w:rFonts w:cs="Times New Roman"/>
                    </w:rPr>
                    <w:t xml:space="preserve">Depoziti, jamčevni polozi i potraživanja od zaposlenih te za više plaćene poreze i ostalo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5386" w14:textId="31D18DD2" w:rsidR="00327224" w:rsidRPr="00CF6E21" w:rsidRDefault="00327224" w:rsidP="00F2414D">
                  <w:pPr>
                    <w:jc w:val="right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15.627,41</w:t>
                  </w:r>
                </w:p>
                <w:p w14:paraId="00E32123" w14:textId="77777777" w:rsidR="00327224" w:rsidRPr="00CF6E21" w:rsidRDefault="00327224" w:rsidP="00F2414D">
                  <w:pPr>
                    <w:jc w:val="right"/>
                    <w:rPr>
                      <w:rFonts w:cs="Times New Roman"/>
                    </w:rPr>
                  </w:pPr>
                </w:p>
              </w:tc>
            </w:tr>
            <w:tr w:rsidR="00327224" w:rsidRPr="00CF6E21" w14:paraId="279D05A0" w14:textId="77777777" w:rsidTr="00F2414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0C05B" w14:textId="71EE16A0" w:rsidR="00327224" w:rsidRPr="00CF6E21" w:rsidRDefault="00327224" w:rsidP="00F2414D">
                  <w:pPr>
                    <w:jc w:val="both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16</w:t>
                  </w:r>
                  <w:r w:rsidR="00291614" w:rsidRPr="00CF6E21">
                    <w:rPr>
                      <w:rFonts w:cs="Times New Roman"/>
                    </w:rPr>
                    <w:t xml:space="preserve"> </w:t>
                  </w:r>
                  <w:r w:rsidRPr="00CF6E21">
                    <w:rPr>
                      <w:rFonts w:cs="Times New Roman"/>
                    </w:rPr>
                    <w:t>-</w:t>
                  </w:r>
                  <w:r w:rsidR="00291614" w:rsidRPr="00CF6E21">
                    <w:rPr>
                      <w:rFonts w:cs="Times New Roman"/>
                    </w:rPr>
                    <w:t xml:space="preserve"> </w:t>
                  </w:r>
                  <w:r w:rsidRPr="00CF6E21">
                    <w:rPr>
                      <w:rFonts w:cs="Times New Roman"/>
                    </w:rPr>
                    <w:t xml:space="preserve">Potraživanja za prihode poslovanja                                                                             </w:t>
                  </w:r>
                </w:p>
              </w:tc>
              <w:tc>
                <w:tcPr>
                  <w:tcW w:w="4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02A21" w14:textId="73D930F5" w:rsidR="00327224" w:rsidRPr="00CF6E21" w:rsidRDefault="00327224" w:rsidP="00F2414D">
                  <w:pPr>
                    <w:jc w:val="right"/>
                    <w:rPr>
                      <w:rFonts w:cs="Times New Roman"/>
                    </w:rPr>
                  </w:pPr>
                  <w:r w:rsidRPr="00CF6E21">
                    <w:rPr>
                      <w:rFonts w:cs="Times New Roman"/>
                    </w:rPr>
                    <w:t>800.425,14</w:t>
                  </w:r>
                </w:p>
              </w:tc>
            </w:tr>
          </w:tbl>
          <w:p w14:paraId="4DED8DD0" w14:textId="77777777" w:rsidR="00327224" w:rsidRPr="00CF6E21" w:rsidRDefault="00327224" w:rsidP="00F2414D">
            <w:pPr>
              <w:jc w:val="both"/>
              <w:rPr>
                <w:rFonts w:cs="Times New Roman"/>
              </w:rPr>
            </w:pPr>
          </w:p>
        </w:tc>
      </w:tr>
    </w:tbl>
    <w:p w14:paraId="4406E753" w14:textId="77777777" w:rsidR="00327224" w:rsidRPr="00CF6E21" w:rsidRDefault="00327224" w:rsidP="00A366F8">
      <w:pPr>
        <w:tabs>
          <w:tab w:val="left" w:pos="8540"/>
        </w:tabs>
        <w:jc w:val="both"/>
        <w:rPr>
          <w:rFonts w:cs="Times New Roman"/>
        </w:rPr>
      </w:pPr>
    </w:p>
    <w:p w14:paraId="22472C19" w14:textId="7CC8F25D" w:rsidR="00A366F8" w:rsidRPr="00CF6E21" w:rsidRDefault="00A366F8" w:rsidP="00A366F8">
      <w:pPr>
        <w:tabs>
          <w:tab w:val="left" w:pos="8540"/>
        </w:tabs>
        <w:jc w:val="both"/>
        <w:rPr>
          <w:rFonts w:cs="Times New Roman"/>
        </w:rPr>
      </w:pPr>
      <w:r w:rsidRPr="00CF6E21">
        <w:rPr>
          <w:rFonts w:cs="Times New Roman"/>
        </w:rPr>
        <w:t>Odstupanja u odnosu na prethodnu godinu odnose se na obje skupine računa.</w:t>
      </w:r>
    </w:p>
    <w:p w14:paraId="2C761DD4" w14:textId="55E6DB2E" w:rsidR="00A366F8" w:rsidRPr="00CF6E21" w:rsidRDefault="00A366F8" w:rsidP="00A366F8">
      <w:pPr>
        <w:tabs>
          <w:tab w:val="left" w:pos="8540"/>
        </w:tabs>
        <w:jc w:val="both"/>
        <w:rPr>
          <w:rFonts w:cs="Times New Roman"/>
        </w:rPr>
      </w:pPr>
      <w:r w:rsidRPr="00CF6E21">
        <w:rPr>
          <w:rFonts w:cs="Times New Roman"/>
        </w:rPr>
        <w:t>Na skupini računa 12</w:t>
      </w:r>
      <w:r w:rsidR="002916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 xml:space="preserve">- Depoziti, jamčevni polozi i potraživanja od zaposlenih te za više plaćene poreze i ostalo, bilježi se neznatno povećanje. Ova potraživanja odnose se na potraživanje od HZZO za bolovanja. </w:t>
      </w:r>
    </w:p>
    <w:p w14:paraId="1F4FA4A4" w14:textId="38803525" w:rsidR="00754D80" w:rsidRPr="00CF6E21" w:rsidRDefault="00A366F8" w:rsidP="00754D80">
      <w:pPr>
        <w:spacing w:line="240" w:lineRule="auto"/>
        <w:jc w:val="both"/>
        <w:rPr>
          <w:rFonts w:cs="Times New Roman"/>
        </w:rPr>
      </w:pPr>
      <w:r w:rsidRPr="00CF6E21">
        <w:rPr>
          <w:rFonts w:cs="Times New Roman"/>
        </w:rPr>
        <w:t>Najznačajnij</w:t>
      </w:r>
      <w:r w:rsidR="00291614" w:rsidRPr="00CF6E21">
        <w:rPr>
          <w:rFonts w:cs="Times New Roman"/>
        </w:rPr>
        <w:t>e</w:t>
      </w:r>
      <w:r w:rsidRPr="00CF6E21">
        <w:rPr>
          <w:rFonts w:cs="Times New Roman"/>
        </w:rPr>
        <w:t xml:space="preserve"> odstupanje unutar skupine računa 16 - Potraživanja za prihode poslovanja bilježe  se na potraživanjima za sredstva uplaćena u proračun koji su u odnosu na 202</w:t>
      </w:r>
      <w:r w:rsidR="00754D80" w:rsidRPr="00CF6E21">
        <w:rPr>
          <w:rFonts w:cs="Times New Roman"/>
        </w:rPr>
        <w:t>4</w:t>
      </w:r>
      <w:r w:rsidRPr="00CF6E21">
        <w:rPr>
          <w:rFonts w:cs="Times New Roman"/>
        </w:rPr>
        <w:t xml:space="preserve">. godinu </w:t>
      </w:r>
      <w:r w:rsidR="00754D80" w:rsidRPr="00CF6E21">
        <w:rPr>
          <w:rFonts w:cs="Times New Roman"/>
        </w:rPr>
        <w:t>veći, budući da masa planiranih prihoda u 2025.</w:t>
      </w:r>
      <w:r w:rsidR="00291614" w:rsidRPr="00CF6E21">
        <w:rPr>
          <w:rFonts w:cs="Times New Roman"/>
        </w:rPr>
        <w:t xml:space="preserve"> </w:t>
      </w:r>
      <w:r w:rsidR="00754D80" w:rsidRPr="00CF6E21">
        <w:rPr>
          <w:rFonts w:cs="Times New Roman"/>
        </w:rPr>
        <w:t>godini bilježi porast u odnosu na prethodno razdoblje.</w:t>
      </w:r>
    </w:p>
    <w:p w14:paraId="4A630A08" w14:textId="2336BECF" w:rsidR="00A366F8" w:rsidRPr="00CF6E21" w:rsidRDefault="00EB7557" w:rsidP="00EB7557">
      <w:pPr>
        <w:tabs>
          <w:tab w:val="left" w:pos="8540"/>
        </w:tabs>
        <w:jc w:val="center"/>
        <w:rPr>
          <w:rFonts w:cs="Times New Roman"/>
        </w:rPr>
      </w:pPr>
      <w:r w:rsidRPr="00CF6E21">
        <w:rPr>
          <w:rFonts w:cs="Times New Roman"/>
        </w:rPr>
        <w:t>Bilješka 15.</w:t>
      </w:r>
    </w:p>
    <w:p w14:paraId="3E1C6A2D" w14:textId="4064EDE0" w:rsidR="00A366F8" w:rsidRPr="00CF6E21" w:rsidRDefault="00A366F8" w:rsidP="00A366F8">
      <w:pPr>
        <w:spacing w:after="200"/>
        <w:jc w:val="both"/>
        <w:rPr>
          <w:rFonts w:eastAsia="Calibri" w:cs="Times New Roman"/>
          <w:b/>
          <w:bCs/>
          <w:caps/>
          <w:spacing w:val="5"/>
          <w:u w:val="single"/>
          <w:lang w:eastAsia="en-US"/>
        </w:rPr>
      </w:pPr>
      <w:r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>Račun 2</w:t>
      </w:r>
      <w:r w:rsidR="00F30B44"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 xml:space="preserve"> </w:t>
      </w:r>
      <w:r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 xml:space="preserve">- obveze u ukupnom iznosu od </w:t>
      </w:r>
      <w:r w:rsidR="006A5C5B" w:rsidRPr="00CF6E21">
        <w:rPr>
          <w:rFonts w:eastAsia="Calibri" w:cs="Times New Roman"/>
          <w:b/>
          <w:bCs/>
          <w:caps/>
          <w:spacing w:val="5"/>
          <w:u w:val="single"/>
          <w:lang w:eastAsia="en-US"/>
        </w:rPr>
        <w:t>326.729,83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996"/>
      </w:tblGrid>
      <w:tr w:rsidR="00A366F8" w:rsidRPr="00CF6E21" w14:paraId="2F4AA9FD" w14:textId="77777777">
        <w:trPr>
          <w:trHeight w:val="282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14:paraId="632220A1" w14:textId="77777777" w:rsidR="00A366F8" w:rsidRPr="00CF6E21" w:rsidRDefault="00A366F8">
            <w:pPr>
              <w:jc w:val="center"/>
              <w:rPr>
                <w:rFonts w:eastAsia="Times New Roman" w:cs="Times New Roman"/>
              </w:rPr>
            </w:pPr>
            <w:r w:rsidRPr="00CF6E21">
              <w:rPr>
                <w:rFonts w:cs="Times New Roman"/>
              </w:rPr>
              <w:t>Dodatna specifikacija po kontima:</w:t>
            </w:r>
          </w:p>
        </w:tc>
      </w:tr>
      <w:tr w:rsidR="00A366F8" w:rsidRPr="00CF6E21" w14:paraId="5B802FF9" w14:textId="77777777">
        <w:trPr>
          <w:trHeight w:val="268"/>
        </w:trPr>
        <w:tc>
          <w:tcPr>
            <w:tcW w:w="94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49F9964" w14:textId="77777777" w:rsidR="00242A88" w:rsidRPr="00CF6E21" w:rsidRDefault="00242A88">
            <w:pPr>
              <w:jc w:val="both"/>
              <w:rPr>
                <w:rFonts w:cs="Times New Roman"/>
              </w:rPr>
            </w:pPr>
          </w:p>
          <w:p w14:paraId="5E681F28" w14:textId="6DA02B07" w:rsidR="00A366F8" w:rsidRPr="00CF6E21" w:rsidRDefault="00A366F8">
            <w:pPr>
              <w:jc w:val="both"/>
              <w:rPr>
                <w:rFonts w:cs="Times New Roman"/>
              </w:rPr>
            </w:pPr>
            <w:r w:rsidRPr="00CF6E21">
              <w:rPr>
                <w:rFonts w:cs="Times New Roman"/>
              </w:rPr>
              <w:t>231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 xml:space="preserve">- obveze za zaposlene                                                                                                     </w:t>
            </w:r>
            <w:r w:rsidR="006A5C5B" w:rsidRPr="00CF6E21">
              <w:rPr>
                <w:rFonts w:cs="Times New Roman"/>
              </w:rPr>
              <w:t>173.020,21</w:t>
            </w:r>
          </w:p>
        </w:tc>
      </w:tr>
      <w:tr w:rsidR="00A366F8" w:rsidRPr="00CF6E21" w14:paraId="43572437" w14:textId="77777777">
        <w:trPr>
          <w:trHeight w:val="551"/>
        </w:trPr>
        <w:tc>
          <w:tcPr>
            <w:tcW w:w="94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E23ED64" w14:textId="0A610C2C" w:rsidR="00A366F8" w:rsidRPr="00CF6E21" w:rsidRDefault="00A366F8" w:rsidP="00242A88">
            <w:pPr>
              <w:jc w:val="both"/>
              <w:rPr>
                <w:rFonts w:cs="Times New Roman"/>
              </w:rPr>
            </w:pPr>
            <w:r w:rsidRPr="00CF6E21">
              <w:rPr>
                <w:rFonts w:cs="Times New Roman"/>
              </w:rPr>
              <w:t>232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>-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 xml:space="preserve">obveze za materijalne rashode                                                                                    </w:t>
            </w:r>
            <w:r w:rsidR="006A5C5B" w:rsidRPr="00CF6E21">
              <w:rPr>
                <w:rFonts w:cs="Times New Roman"/>
              </w:rPr>
              <w:t>86.566,31</w:t>
            </w:r>
          </w:p>
        </w:tc>
      </w:tr>
      <w:tr w:rsidR="00A366F8" w:rsidRPr="00CF6E21" w14:paraId="437EB8E4" w14:textId="77777777" w:rsidTr="00242A88">
        <w:trPr>
          <w:trHeight w:val="710"/>
        </w:trPr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53ACF" w14:textId="705FB951" w:rsidR="00A366F8" w:rsidRPr="00CF6E21" w:rsidRDefault="006A5C5B">
            <w:pPr>
              <w:jc w:val="both"/>
              <w:rPr>
                <w:rFonts w:cs="Times New Roman"/>
              </w:rPr>
            </w:pPr>
            <w:r w:rsidRPr="00CF6E21">
              <w:rPr>
                <w:rFonts w:cs="Times New Roman"/>
              </w:rPr>
              <w:t>27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>-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>obveze za predujmove,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>depozite,</w:t>
            </w:r>
            <w:r w:rsidR="00F30B44" w:rsidRPr="00CF6E21">
              <w:rPr>
                <w:rFonts w:cs="Times New Roman"/>
              </w:rPr>
              <w:t xml:space="preserve"> </w:t>
            </w:r>
            <w:r w:rsidRPr="00CF6E21">
              <w:rPr>
                <w:rFonts w:cs="Times New Roman"/>
              </w:rPr>
              <w:t>jamčevne pologe i tuđe prihode                        67.143,31</w:t>
            </w:r>
          </w:p>
          <w:p w14:paraId="267DCF19" w14:textId="77777777" w:rsidR="00A366F8" w:rsidRPr="00CF6E21" w:rsidRDefault="00A366F8">
            <w:pPr>
              <w:jc w:val="both"/>
              <w:rPr>
                <w:rFonts w:cs="Times New Roman"/>
              </w:rPr>
            </w:pPr>
          </w:p>
        </w:tc>
      </w:tr>
    </w:tbl>
    <w:p w14:paraId="57A8665E" w14:textId="77777777" w:rsidR="00EB7557" w:rsidRPr="00CF6E21" w:rsidRDefault="00EB7557" w:rsidP="00A366F8">
      <w:pPr>
        <w:spacing w:line="276" w:lineRule="auto"/>
        <w:jc w:val="both"/>
        <w:rPr>
          <w:rFonts w:eastAsia="Calibri" w:cs="Times New Roman"/>
          <w:color w:val="EE0000"/>
          <w:lang w:eastAsia="en-US"/>
        </w:rPr>
      </w:pPr>
    </w:p>
    <w:p w14:paraId="34DBDA7F" w14:textId="0F802FB8" w:rsidR="00EB7557" w:rsidRPr="00CF6E21" w:rsidRDefault="00EB7557" w:rsidP="00EB7557">
      <w:pPr>
        <w:spacing w:line="276" w:lineRule="auto"/>
        <w:jc w:val="center"/>
        <w:rPr>
          <w:rFonts w:eastAsia="Calibri" w:cs="Times New Roman"/>
          <w:color w:val="EE0000"/>
          <w:lang w:eastAsia="en-US"/>
        </w:rPr>
      </w:pPr>
      <w:r w:rsidRPr="00CF6E21">
        <w:rPr>
          <w:rFonts w:cs="Times New Roman"/>
        </w:rPr>
        <w:t>Bilješka 16.</w:t>
      </w:r>
    </w:p>
    <w:p w14:paraId="33FB1224" w14:textId="4F11EC1E" w:rsidR="00A366F8" w:rsidRPr="00CF6E21" w:rsidRDefault="005531D6" w:rsidP="00A366F8">
      <w:pPr>
        <w:spacing w:after="200"/>
        <w:jc w:val="both"/>
        <w:rPr>
          <w:rFonts w:eastAsia="Calibri" w:cs="Times New Roman"/>
          <w:b/>
          <w:bCs/>
          <w:iCs/>
          <w:caps/>
          <w:spacing w:val="5"/>
          <w:u w:val="single"/>
          <w:lang w:eastAsia="en-US"/>
        </w:rPr>
      </w:pPr>
      <w:r w:rsidRPr="00CF6E21">
        <w:rPr>
          <w:rFonts w:eastAsia="Calibri" w:cs="Times New Roman"/>
          <w:b/>
          <w:bCs/>
          <w:iCs/>
          <w:caps/>
          <w:spacing w:val="5"/>
          <w:u w:val="single"/>
          <w:lang w:eastAsia="en-US"/>
        </w:rPr>
        <w:t>R</w:t>
      </w:r>
      <w:r w:rsidR="00A366F8" w:rsidRPr="00CF6E21">
        <w:rPr>
          <w:rFonts w:eastAsia="Calibri" w:cs="Times New Roman"/>
          <w:b/>
          <w:bCs/>
          <w:iCs/>
          <w:caps/>
          <w:spacing w:val="5"/>
          <w:u w:val="single"/>
          <w:lang w:eastAsia="en-US"/>
        </w:rPr>
        <w:t xml:space="preserve">ačun 9 VLASTITI IZVORI u ukupnom iznosu od </w:t>
      </w:r>
      <w:r w:rsidRPr="00CF6E21">
        <w:rPr>
          <w:rFonts w:eastAsia="Calibri" w:cs="Times New Roman"/>
          <w:b/>
          <w:bCs/>
          <w:iCs/>
          <w:caps/>
          <w:spacing w:val="5"/>
          <w:u w:val="single"/>
          <w:lang w:eastAsia="en-US"/>
        </w:rPr>
        <w:t>5.427.317,27</w:t>
      </w:r>
    </w:p>
    <w:p w14:paraId="2A48DDEC" w14:textId="4D581181" w:rsidR="00C004B0" w:rsidRPr="00CF6E21" w:rsidRDefault="00A366F8" w:rsidP="00EF0EAD">
      <w:pPr>
        <w:jc w:val="both"/>
        <w:rPr>
          <w:rFonts w:cs="Times New Roman"/>
        </w:rPr>
      </w:pPr>
      <w:r w:rsidRPr="00CF6E21">
        <w:rPr>
          <w:rFonts w:cs="Times New Roman"/>
        </w:rPr>
        <w:t>Stanje na računima razreda 9 u najvećoj mjeri je odraz ranije obrazloženih promjena na računima razreda 0 i 1,</w:t>
      </w:r>
      <w:r w:rsidR="002916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kao</w:t>
      </w:r>
      <w:r w:rsidR="002916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>i</w:t>
      </w:r>
      <w:r w:rsidR="00291614" w:rsidRPr="00CF6E21">
        <w:rPr>
          <w:rFonts w:cs="Times New Roman"/>
        </w:rPr>
        <w:t xml:space="preserve"> </w:t>
      </w:r>
      <w:r w:rsidRPr="00CF6E21">
        <w:rPr>
          <w:rFonts w:cs="Times New Roman"/>
        </w:rPr>
        <w:t xml:space="preserve">rezultata poslovanja koji je utvrđen sukladno odredbama </w:t>
      </w:r>
      <w:r w:rsidR="00EF0EAD" w:rsidRPr="00CF6E21">
        <w:rPr>
          <w:rFonts w:cs="Times New Roman"/>
        </w:rPr>
        <w:t>Pravilnika o proračunskom računovodstvu i Računskom planu (NN, br. 158/23 i 154/24)</w:t>
      </w:r>
      <w:r w:rsidR="00C004B0" w:rsidRPr="00CF6E21">
        <w:rPr>
          <w:rFonts w:cs="Times New Roman"/>
        </w:rPr>
        <w:t>.</w:t>
      </w:r>
    </w:p>
    <w:p w14:paraId="194A7539" w14:textId="77777777" w:rsidR="00C004B0" w:rsidRPr="00CF6E21" w:rsidRDefault="00C004B0" w:rsidP="00EF0EAD">
      <w:pPr>
        <w:jc w:val="both"/>
        <w:rPr>
          <w:rFonts w:cs="Times New Roman"/>
        </w:rPr>
      </w:pPr>
    </w:p>
    <w:p w14:paraId="7B5A9C20" w14:textId="77777777" w:rsidR="00C004B0" w:rsidRPr="0085581C" w:rsidRDefault="00C004B0" w:rsidP="00EF0EAD">
      <w:pPr>
        <w:jc w:val="both"/>
        <w:rPr>
          <w:rFonts w:cs="Times New Roman"/>
        </w:rPr>
      </w:pPr>
    </w:p>
    <w:p w14:paraId="3CC97B13" w14:textId="46A45C9A" w:rsidR="00A366F8" w:rsidRPr="0085581C" w:rsidRDefault="00EB7557" w:rsidP="00C004B0">
      <w:pPr>
        <w:jc w:val="center"/>
        <w:rPr>
          <w:rFonts w:cs="Times New Roman"/>
        </w:rPr>
      </w:pPr>
      <w:r w:rsidRPr="0085581C">
        <w:rPr>
          <w:rFonts w:cs="Times New Roman"/>
        </w:rPr>
        <w:t>Bilješka 17.</w:t>
      </w:r>
    </w:p>
    <w:p w14:paraId="18835DEC" w14:textId="62E9DD14" w:rsidR="00A366F8" w:rsidRPr="0085581C" w:rsidRDefault="00A366F8" w:rsidP="00A366F8">
      <w:pPr>
        <w:spacing w:after="200"/>
        <w:jc w:val="both"/>
        <w:rPr>
          <w:rFonts w:eastAsia="Calibri" w:cs="Times New Roman"/>
          <w:b/>
          <w:bCs/>
          <w:caps/>
          <w:color w:val="FF0000"/>
          <w:spacing w:val="5"/>
          <w:u w:val="single"/>
          <w:lang w:eastAsia="en-US"/>
        </w:rPr>
      </w:pPr>
      <w:r w:rsidRPr="0085581C">
        <w:rPr>
          <w:rFonts w:eastAsia="Calibri" w:cs="Times New Roman"/>
          <w:b/>
          <w:bCs/>
          <w:caps/>
          <w:spacing w:val="5"/>
          <w:u w:val="single"/>
          <w:lang w:eastAsia="en-US"/>
        </w:rPr>
        <w:t xml:space="preserve">Račun 991/996  izvanbilančni zapisi  u ukupnom iznosu od </w:t>
      </w:r>
      <w:r w:rsidR="00B32821" w:rsidRPr="0085581C">
        <w:rPr>
          <w:rFonts w:eastAsia="Calibri" w:cs="Times New Roman"/>
          <w:b/>
          <w:bCs/>
          <w:caps/>
          <w:spacing w:val="5"/>
          <w:u w:val="single"/>
          <w:lang w:eastAsia="en-US"/>
        </w:rPr>
        <w:t>13.635.542,81</w:t>
      </w:r>
    </w:p>
    <w:p w14:paraId="4BC6A1CA" w14:textId="382F7242" w:rsidR="001B5D2D" w:rsidRPr="0085581C" w:rsidRDefault="00A366F8" w:rsidP="00A366F8">
      <w:pPr>
        <w:jc w:val="both"/>
        <w:rPr>
          <w:rFonts w:cs="Times New Roman"/>
        </w:rPr>
      </w:pPr>
      <w:r w:rsidRPr="0085581C">
        <w:rPr>
          <w:rFonts w:cs="Times New Roman"/>
        </w:rPr>
        <w:t>Stanje na računima 991/996 odnosi se na evidentiranje i praćenje instrumenata osiguranja, tuđe imovine dobivene na korištenje</w:t>
      </w:r>
      <w:r w:rsidR="001B5D2D" w:rsidRPr="0085581C">
        <w:rPr>
          <w:rFonts w:cs="Times New Roman"/>
        </w:rPr>
        <w:t xml:space="preserve"> kao i preuzete obveze po ugovorima o nabavi robe, radova i usluga,</w:t>
      </w:r>
      <w:r w:rsidR="00291614" w:rsidRPr="0085581C">
        <w:rPr>
          <w:rFonts w:cs="Times New Roman"/>
        </w:rPr>
        <w:t xml:space="preserve"> </w:t>
      </w:r>
      <w:r w:rsidRPr="0085581C">
        <w:rPr>
          <w:rFonts w:cs="Times New Roman"/>
        </w:rPr>
        <w:t xml:space="preserve">te se na istima bilježi značajnije povećanje </w:t>
      </w:r>
      <w:r w:rsidR="00B32821" w:rsidRPr="0085581C">
        <w:rPr>
          <w:rFonts w:cs="Times New Roman"/>
        </w:rPr>
        <w:t xml:space="preserve">sukladno </w:t>
      </w:r>
      <w:r w:rsidR="00291614" w:rsidRPr="0085581C">
        <w:rPr>
          <w:rFonts w:cs="Times New Roman"/>
        </w:rPr>
        <w:t>P</w:t>
      </w:r>
      <w:r w:rsidR="00B32821" w:rsidRPr="0085581C">
        <w:rPr>
          <w:rFonts w:cs="Times New Roman"/>
        </w:rPr>
        <w:t>ravilniku o proračunskom računovodstvu i računskom planu</w:t>
      </w:r>
      <w:r w:rsidR="00291614" w:rsidRPr="0085581C">
        <w:rPr>
          <w:rFonts w:cs="Times New Roman"/>
        </w:rPr>
        <w:t>,</w:t>
      </w:r>
      <w:r w:rsidR="00B32821" w:rsidRPr="0085581C">
        <w:rPr>
          <w:rFonts w:cs="Times New Roman"/>
        </w:rPr>
        <w:t xml:space="preserve"> a vezano za evidentiranje </w:t>
      </w:r>
      <w:r w:rsidR="00B32821" w:rsidRPr="0085581C">
        <w:rPr>
          <w:rFonts w:cs="Times New Roman"/>
          <w:color w:val="231F20"/>
          <w:shd w:val="clear" w:color="auto" w:fill="FFFFFF"/>
        </w:rPr>
        <w:t xml:space="preserve"> preuzetih obveze po ugovorima o nabavi roba, radova i usluga (račun 99152).</w:t>
      </w:r>
      <w:r w:rsidR="00B32821" w:rsidRPr="0085581C">
        <w:rPr>
          <w:rFonts w:cs="Times New Roman"/>
        </w:rPr>
        <w:t xml:space="preserve"> </w:t>
      </w:r>
      <w:r w:rsidRPr="0085581C">
        <w:rPr>
          <w:rFonts w:cs="Times New Roman"/>
        </w:rPr>
        <w:t xml:space="preserve"> </w:t>
      </w:r>
    </w:p>
    <w:p w14:paraId="02B6EE4C" w14:textId="42798A97" w:rsidR="00A366F8" w:rsidRPr="0085581C" w:rsidRDefault="00A366F8" w:rsidP="00A366F8">
      <w:pPr>
        <w:jc w:val="both"/>
        <w:rPr>
          <w:rFonts w:eastAsia="Times New Roman" w:cs="Times New Roman"/>
        </w:rPr>
      </w:pPr>
      <w:r w:rsidRPr="0085581C">
        <w:rPr>
          <w:rFonts w:cs="Times New Roman"/>
        </w:rPr>
        <w:t xml:space="preserve">Institut nema potencijalnih obveza po osnovi sudskih sporova. </w:t>
      </w:r>
    </w:p>
    <w:p w14:paraId="5F49B522" w14:textId="77777777" w:rsidR="0076653D" w:rsidRPr="0085581C" w:rsidRDefault="0076653D" w:rsidP="00A366F8">
      <w:pPr>
        <w:ind w:left="720" w:hanging="720"/>
        <w:jc w:val="both"/>
        <w:rPr>
          <w:rFonts w:cs="Times New Roman"/>
          <w:b/>
        </w:rPr>
      </w:pPr>
    </w:p>
    <w:p w14:paraId="149FBC01" w14:textId="14867351" w:rsidR="00A366F8" w:rsidRPr="0085581C" w:rsidRDefault="00EB7557" w:rsidP="00EB7557">
      <w:pPr>
        <w:ind w:left="720" w:hanging="720"/>
        <w:jc w:val="center"/>
        <w:rPr>
          <w:rFonts w:eastAsia="Times New Roman" w:cs="Times New Roman"/>
          <w:b/>
        </w:rPr>
      </w:pPr>
      <w:r w:rsidRPr="0085581C">
        <w:rPr>
          <w:rFonts w:cs="Times New Roman"/>
          <w:b/>
        </w:rPr>
        <w:t>Izvještaj o p</w:t>
      </w:r>
      <w:r w:rsidR="00A366F8" w:rsidRPr="0085581C">
        <w:rPr>
          <w:rFonts w:cs="Times New Roman"/>
          <w:b/>
        </w:rPr>
        <w:t>romjen</w:t>
      </w:r>
      <w:r w:rsidRPr="0085581C">
        <w:rPr>
          <w:rFonts w:cs="Times New Roman"/>
          <w:b/>
        </w:rPr>
        <w:t>ama</w:t>
      </w:r>
      <w:r w:rsidR="00A366F8" w:rsidRPr="0085581C">
        <w:rPr>
          <w:rFonts w:cs="Times New Roman"/>
          <w:b/>
        </w:rPr>
        <w:t xml:space="preserve"> u vrijednosti</w:t>
      </w:r>
      <w:r w:rsidRPr="0085581C">
        <w:rPr>
          <w:rFonts w:cs="Times New Roman"/>
          <w:b/>
        </w:rPr>
        <w:t xml:space="preserve"> i obujmu</w:t>
      </w:r>
      <w:r w:rsidR="00A366F8" w:rsidRPr="0085581C">
        <w:rPr>
          <w:rFonts w:cs="Times New Roman"/>
          <w:b/>
        </w:rPr>
        <w:t xml:space="preserve"> imovine i obveza</w:t>
      </w:r>
      <w:r w:rsidR="00593DA4">
        <w:rPr>
          <w:rFonts w:cs="Times New Roman"/>
          <w:b/>
        </w:rPr>
        <w:t xml:space="preserve"> </w:t>
      </w:r>
      <w:r w:rsidR="00A366F8" w:rsidRPr="0085581C">
        <w:rPr>
          <w:rFonts w:cs="Times New Roman"/>
          <w:b/>
        </w:rPr>
        <w:t>- P-VRIO</w:t>
      </w:r>
    </w:p>
    <w:p w14:paraId="5A8CC71D" w14:textId="02B319FA" w:rsidR="00D524E5" w:rsidRPr="0085581C" w:rsidRDefault="00D524E5" w:rsidP="00D524E5">
      <w:pPr>
        <w:jc w:val="center"/>
        <w:rPr>
          <w:rFonts w:cs="Times New Roman"/>
        </w:rPr>
      </w:pPr>
      <w:r w:rsidRPr="0085581C">
        <w:rPr>
          <w:rFonts w:cs="Times New Roman"/>
        </w:rPr>
        <w:t>Bilješka 18.</w:t>
      </w:r>
    </w:p>
    <w:p w14:paraId="3916A85B" w14:textId="4725C45B" w:rsidR="00A366F8" w:rsidRPr="0085581C" w:rsidRDefault="00A366F8" w:rsidP="00A366F8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  <w:r w:rsidRPr="0085581C">
        <w:rPr>
          <w:rFonts w:eastAsia="Calibri" w:cs="Times New Roman"/>
          <w:lang w:eastAsia="en-US"/>
        </w:rPr>
        <w:t>Institut je tijekom 202</w:t>
      </w:r>
      <w:r w:rsidR="0076653D" w:rsidRPr="0085581C">
        <w:rPr>
          <w:rFonts w:eastAsia="Calibri" w:cs="Times New Roman"/>
          <w:lang w:eastAsia="en-US"/>
        </w:rPr>
        <w:t>5</w:t>
      </w:r>
      <w:r w:rsidRPr="0085581C">
        <w:rPr>
          <w:rFonts w:eastAsia="Calibri" w:cs="Times New Roman"/>
          <w:lang w:eastAsia="en-US"/>
        </w:rPr>
        <w:t xml:space="preserve">. godine imao </w:t>
      </w:r>
      <w:r w:rsidR="0076653D" w:rsidRPr="0085581C">
        <w:rPr>
          <w:rFonts w:eastAsia="Calibri" w:cs="Times New Roman"/>
          <w:lang w:eastAsia="en-US"/>
        </w:rPr>
        <w:t xml:space="preserve">smanjenje </w:t>
      </w:r>
      <w:r w:rsidRPr="0085581C">
        <w:rPr>
          <w:rFonts w:eastAsia="Calibri" w:cs="Times New Roman"/>
          <w:lang w:eastAsia="en-US"/>
        </w:rPr>
        <w:t xml:space="preserve">imovine preko računa 915. Iskazano </w:t>
      </w:r>
      <w:r w:rsidR="0076653D" w:rsidRPr="0085581C">
        <w:rPr>
          <w:rFonts w:eastAsia="Calibri" w:cs="Times New Roman"/>
          <w:lang w:eastAsia="en-US"/>
        </w:rPr>
        <w:t xml:space="preserve">smanjenje na računu 91511 </w:t>
      </w:r>
      <w:r w:rsidR="00002A5E" w:rsidRPr="0085581C">
        <w:rPr>
          <w:rFonts w:eastAsia="Calibri" w:cs="Times New Roman"/>
          <w:lang w:eastAsia="en-US"/>
        </w:rPr>
        <w:t>-</w:t>
      </w:r>
      <w:r w:rsidR="0076653D" w:rsidRPr="0085581C">
        <w:rPr>
          <w:rFonts w:eastAsia="Calibri" w:cs="Times New Roman"/>
          <w:lang w:eastAsia="en-US"/>
        </w:rPr>
        <w:t xml:space="preserve"> </w:t>
      </w:r>
      <w:r w:rsidR="00002A5E" w:rsidRPr="0085581C">
        <w:rPr>
          <w:rFonts w:eastAsia="Calibri" w:cs="Times New Roman"/>
          <w:lang w:eastAsia="en-US"/>
        </w:rPr>
        <w:t>p</w:t>
      </w:r>
      <w:r w:rsidR="0076653D" w:rsidRPr="0085581C">
        <w:rPr>
          <w:rFonts w:eastAsia="Calibri" w:cs="Times New Roman"/>
          <w:lang w:eastAsia="en-US"/>
        </w:rPr>
        <w:t xml:space="preserve">romjena u vrijednosti imovine odnosi se na provedeni ispravak vrijednosti </w:t>
      </w:r>
      <w:r w:rsidR="00EF561D" w:rsidRPr="0085581C">
        <w:rPr>
          <w:rFonts w:eastAsia="Calibri" w:cs="Times New Roman"/>
          <w:lang w:eastAsia="en-US"/>
        </w:rPr>
        <w:t>s</w:t>
      </w:r>
      <w:r w:rsidR="00593DA4">
        <w:rPr>
          <w:rFonts w:eastAsia="Calibri" w:cs="Times New Roman"/>
          <w:lang w:eastAsia="en-US"/>
        </w:rPr>
        <w:t xml:space="preserve"> </w:t>
      </w:r>
      <w:r w:rsidR="00EF561D" w:rsidRPr="0085581C">
        <w:rPr>
          <w:rFonts w:eastAsia="Calibri" w:cs="Times New Roman"/>
          <w:lang w:eastAsia="en-US"/>
        </w:rPr>
        <w:t xml:space="preserve">datumom 31.12.2025. godine </w:t>
      </w:r>
      <w:r w:rsidR="0076653D" w:rsidRPr="0085581C">
        <w:rPr>
          <w:rFonts w:eastAsia="Calibri" w:cs="Times New Roman"/>
          <w:lang w:eastAsia="en-US"/>
        </w:rPr>
        <w:t>u iznosu od 326.831,68 eura, a smanjenje obujma imovine u iznosu od 50.604,97 eura odnosi se na isknjiženje</w:t>
      </w:r>
      <w:r w:rsidR="00C1099F" w:rsidRPr="0085581C">
        <w:rPr>
          <w:rFonts w:eastAsia="Calibri" w:cs="Times New Roman"/>
          <w:lang w:eastAsia="en-US"/>
        </w:rPr>
        <w:t xml:space="preserve"> rashodovane</w:t>
      </w:r>
      <w:r w:rsidR="0076653D" w:rsidRPr="0085581C">
        <w:rPr>
          <w:rFonts w:eastAsia="Calibri" w:cs="Times New Roman"/>
          <w:lang w:eastAsia="en-US"/>
        </w:rPr>
        <w:t xml:space="preserve"> imovine </w:t>
      </w:r>
      <w:r w:rsidR="00002A5E" w:rsidRPr="0085581C">
        <w:rPr>
          <w:rFonts w:eastAsia="Calibri" w:cs="Times New Roman"/>
          <w:lang w:eastAsia="en-US"/>
        </w:rPr>
        <w:t>iz poslovnih knjiga Instituta</w:t>
      </w:r>
      <w:r w:rsidR="00C1099F" w:rsidRPr="0085581C">
        <w:rPr>
          <w:rFonts w:eastAsia="Calibri" w:cs="Times New Roman"/>
          <w:lang w:eastAsia="en-US"/>
        </w:rPr>
        <w:t>. Ista oprema predana je ovlaštenim t</w:t>
      </w:r>
      <w:r w:rsidR="00593DA4">
        <w:rPr>
          <w:rFonts w:eastAsia="Calibri" w:cs="Times New Roman"/>
          <w:lang w:eastAsia="en-US"/>
        </w:rPr>
        <w:t>v</w:t>
      </w:r>
      <w:r w:rsidR="00C1099F" w:rsidRPr="0085581C">
        <w:rPr>
          <w:rFonts w:eastAsia="Calibri" w:cs="Times New Roman"/>
          <w:lang w:eastAsia="en-US"/>
        </w:rPr>
        <w:t>rtkama za zbrinjavanje otpada.</w:t>
      </w:r>
    </w:p>
    <w:p w14:paraId="3B4F28B3" w14:textId="77777777" w:rsidR="00DA3816" w:rsidRPr="0085581C" w:rsidRDefault="00DA3816" w:rsidP="00A366F8">
      <w:pPr>
        <w:autoSpaceDE w:val="0"/>
        <w:autoSpaceDN w:val="0"/>
        <w:adjustRightInd w:val="0"/>
        <w:jc w:val="both"/>
        <w:rPr>
          <w:rFonts w:eastAsia="Calibri" w:cs="Times New Roman"/>
          <w:color w:val="EE0000"/>
          <w:lang w:eastAsia="en-US"/>
        </w:rPr>
      </w:pPr>
    </w:p>
    <w:p w14:paraId="25D05E7C" w14:textId="48B6C4C7" w:rsidR="00A366F8" w:rsidRPr="0085581C" w:rsidRDefault="00D524E5" w:rsidP="00DA24C9">
      <w:pPr>
        <w:spacing w:after="200"/>
        <w:jc w:val="center"/>
        <w:rPr>
          <w:rFonts w:cs="Times New Roman"/>
          <w:b/>
        </w:rPr>
      </w:pPr>
      <w:r w:rsidRPr="0085581C">
        <w:rPr>
          <w:rFonts w:cs="Times New Roman"/>
          <w:b/>
        </w:rPr>
        <w:t>Izvještaj o rashodima prema</w:t>
      </w:r>
      <w:r w:rsidR="00A366F8" w:rsidRPr="0085581C">
        <w:rPr>
          <w:rFonts w:cs="Times New Roman"/>
          <w:b/>
        </w:rPr>
        <w:t xml:space="preserve"> funkcijskoj klasifikaciji</w:t>
      </w:r>
    </w:p>
    <w:p w14:paraId="104765BD" w14:textId="242E2CA0" w:rsidR="00002A5E" w:rsidRPr="0085581C" w:rsidRDefault="00002A5E" w:rsidP="00002A5E">
      <w:pPr>
        <w:spacing w:after="200"/>
        <w:jc w:val="center"/>
        <w:rPr>
          <w:rFonts w:eastAsia="Times New Roman" w:cs="Times New Roman"/>
          <w:b/>
        </w:rPr>
      </w:pPr>
      <w:r w:rsidRPr="0085581C">
        <w:rPr>
          <w:rFonts w:cs="Times New Roman"/>
        </w:rPr>
        <w:t>Bilješka 19</w:t>
      </w:r>
      <w:r w:rsidR="009A78A3">
        <w:rPr>
          <w:rFonts w:cs="Times New Roman"/>
        </w:rPr>
        <w:t>.</w:t>
      </w:r>
    </w:p>
    <w:p w14:paraId="42619A06" w14:textId="092EAF43" w:rsidR="00A366F8" w:rsidRPr="0085581C" w:rsidRDefault="00A366F8" w:rsidP="00A366F8">
      <w:pPr>
        <w:rPr>
          <w:rFonts w:cs="Times New Roman"/>
        </w:rPr>
      </w:pPr>
      <w:r w:rsidRPr="0085581C">
        <w:rPr>
          <w:rFonts w:cs="Times New Roman"/>
        </w:rPr>
        <w:t xml:space="preserve">Ukupna masa rashoda u iznosu od </w:t>
      </w:r>
      <w:r w:rsidR="00DA24C9" w:rsidRPr="0085581C">
        <w:rPr>
          <w:rFonts w:cs="Times New Roman"/>
        </w:rPr>
        <w:t>11.814.</w:t>
      </w:r>
      <w:r w:rsidR="00B8572B" w:rsidRPr="0085581C">
        <w:rPr>
          <w:rFonts w:cs="Times New Roman"/>
        </w:rPr>
        <w:t>183,66</w:t>
      </w:r>
      <w:r w:rsidRPr="0085581C">
        <w:rPr>
          <w:rFonts w:cs="Times New Roman"/>
        </w:rPr>
        <w:t xml:space="preserve"> eur iskazana na razredima 3 i 4 izvještaja</w:t>
      </w:r>
    </w:p>
    <w:p w14:paraId="355EB41E" w14:textId="77777777" w:rsidR="00A366F8" w:rsidRPr="0085581C" w:rsidRDefault="00A366F8" w:rsidP="00A366F8">
      <w:pPr>
        <w:ind w:left="720" w:hanging="720"/>
        <w:rPr>
          <w:rFonts w:cs="Times New Roman"/>
        </w:rPr>
      </w:pPr>
      <w:r w:rsidRPr="0085581C">
        <w:rPr>
          <w:rFonts w:cs="Times New Roman"/>
        </w:rPr>
        <w:t>PR-RAS u ovom izvještaju raspoređena je prema funkcijskoj klasifikaciji.</w:t>
      </w:r>
    </w:p>
    <w:p w14:paraId="0D30B7DF" w14:textId="77777777" w:rsidR="00A366F8" w:rsidRPr="0085581C" w:rsidRDefault="00A366F8" w:rsidP="00A366F8">
      <w:pPr>
        <w:spacing w:after="200"/>
        <w:jc w:val="both"/>
        <w:rPr>
          <w:rFonts w:eastAsia="Calibri" w:cs="Times New Roman"/>
          <w:b/>
          <w:lang w:eastAsia="en-US"/>
        </w:rPr>
      </w:pPr>
    </w:p>
    <w:p w14:paraId="208E23C5" w14:textId="77777777" w:rsidR="00A366F8" w:rsidRPr="0085581C" w:rsidRDefault="00A366F8">
      <w:pPr>
        <w:spacing w:line="240" w:lineRule="auto"/>
        <w:jc w:val="both"/>
        <w:rPr>
          <w:rFonts w:cs="Times New Roman"/>
        </w:rPr>
      </w:pPr>
    </w:p>
    <w:p w14:paraId="604E85E8" w14:textId="77777777" w:rsidR="00CD479A" w:rsidRPr="0085581C" w:rsidRDefault="00CD479A">
      <w:pPr>
        <w:rPr>
          <w:rFonts w:cs="Times New Roman"/>
        </w:rPr>
      </w:pPr>
    </w:p>
    <w:sectPr w:rsidR="00CD479A" w:rsidRPr="008558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4EA2" w14:textId="77777777" w:rsidR="00065F71" w:rsidRDefault="00065F71" w:rsidP="003A4938">
      <w:pPr>
        <w:spacing w:after="0" w:line="240" w:lineRule="auto"/>
      </w:pPr>
      <w:r>
        <w:separator/>
      </w:r>
    </w:p>
  </w:endnote>
  <w:endnote w:type="continuationSeparator" w:id="0">
    <w:p w14:paraId="0ACDB6AE" w14:textId="77777777" w:rsidR="00065F71" w:rsidRDefault="00065F71" w:rsidP="003A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7B1E" w14:textId="77777777" w:rsidR="003A4938" w:rsidRDefault="003A4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D7DA" w14:textId="77777777" w:rsidR="003A4938" w:rsidRDefault="003A4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09D8" w14:textId="77777777" w:rsidR="003A4938" w:rsidRDefault="003A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EDD3" w14:textId="77777777" w:rsidR="00065F71" w:rsidRDefault="00065F71" w:rsidP="003A4938">
      <w:pPr>
        <w:spacing w:after="0" w:line="240" w:lineRule="auto"/>
      </w:pPr>
      <w:r>
        <w:separator/>
      </w:r>
    </w:p>
  </w:footnote>
  <w:footnote w:type="continuationSeparator" w:id="0">
    <w:p w14:paraId="1D0AD799" w14:textId="77777777" w:rsidR="00065F71" w:rsidRDefault="00065F71" w:rsidP="003A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55D9" w14:textId="77777777" w:rsidR="003A4938" w:rsidRDefault="003A4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7907" w14:textId="77777777" w:rsidR="003A4938" w:rsidRDefault="003A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7148" w14:textId="77777777" w:rsidR="003A4938" w:rsidRDefault="003A4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9A"/>
    <w:rsid w:val="00002A5E"/>
    <w:rsid w:val="000110E1"/>
    <w:rsid w:val="000116A4"/>
    <w:rsid w:val="000557F4"/>
    <w:rsid w:val="00065F71"/>
    <w:rsid w:val="0007777E"/>
    <w:rsid w:val="000A7DFB"/>
    <w:rsid w:val="000F22F3"/>
    <w:rsid w:val="0010741D"/>
    <w:rsid w:val="00121954"/>
    <w:rsid w:val="001462D7"/>
    <w:rsid w:val="00164F2F"/>
    <w:rsid w:val="0017525D"/>
    <w:rsid w:val="0019333E"/>
    <w:rsid w:val="001B19A9"/>
    <w:rsid w:val="001B5D2D"/>
    <w:rsid w:val="001C05D1"/>
    <w:rsid w:val="001C2455"/>
    <w:rsid w:val="001C2933"/>
    <w:rsid w:val="001D0EC1"/>
    <w:rsid w:val="001D2147"/>
    <w:rsid w:val="001E34D2"/>
    <w:rsid w:val="001E7C5F"/>
    <w:rsid w:val="001F504F"/>
    <w:rsid w:val="00205AAF"/>
    <w:rsid w:val="0022032B"/>
    <w:rsid w:val="00223402"/>
    <w:rsid w:val="0022791B"/>
    <w:rsid w:val="00242A88"/>
    <w:rsid w:val="00253D0A"/>
    <w:rsid w:val="00255D96"/>
    <w:rsid w:val="00291614"/>
    <w:rsid w:val="002969D9"/>
    <w:rsid w:val="002E32FB"/>
    <w:rsid w:val="00302A87"/>
    <w:rsid w:val="00302B86"/>
    <w:rsid w:val="00321C4E"/>
    <w:rsid w:val="00327224"/>
    <w:rsid w:val="00351DE3"/>
    <w:rsid w:val="00357E41"/>
    <w:rsid w:val="003A4938"/>
    <w:rsid w:val="003C324C"/>
    <w:rsid w:val="003D5354"/>
    <w:rsid w:val="003D55DF"/>
    <w:rsid w:val="003F5DB7"/>
    <w:rsid w:val="00425F5B"/>
    <w:rsid w:val="0046234D"/>
    <w:rsid w:val="00472BB9"/>
    <w:rsid w:val="004875E3"/>
    <w:rsid w:val="004B216B"/>
    <w:rsid w:val="004D3277"/>
    <w:rsid w:val="004D4E17"/>
    <w:rsid w:val="004F24A7"/>
    <w:rsid w:val="004F4319"/>
    <w:rsid w:val="004F7E7A"/>
    <w:rsid w:val="00504298"/>
    <w:rsid w:val="00506A7D"/>
    <w:rsid w:val="005246AC"/>
    <w:rsid w:val="005250AE"/>
    <w:rsid w:val="005531D6"/>
    <w:rsid w:val="005539DF"/>
    <w:rsid w:val="005916CC"/>
    <w:rsid w:val="00593DA4"/>
    <w:rsid w:val="005971D0"/>
    <w:rsid w:val="005A342E"/>
    <w:rsid w:val="005B2599"/>
    <w:rsid w:val="005D1843"/>
    <w:rsid w:val="005F1747"/>
    <w:rsid w:val="006172FD"/>
    <w:rsid w:val="00651359"/>
    <w:rsid w:val="00666656"/>
    <w:rsid w:val="00693748"/>
    <w:rsid w:val="006942D3"/>
    <w:rsid w:val="006A5C5B"/>
    <w:rsid w:val="006F47C6"/>
    <w:rsid w:val="00707ECE"/>
    <w:rsid w:val="007313E9"/>
    <w:rsid w:val="00754D80"/>
    <w:rsid w:val="00764CE8"/>
    <w:rsid w:val="0076653D"/>
    <w:rsid w:val="00772FCD"/>
    <w:rsid w:val="007858A0"/>
    <w:rsid w:val="00797C2D"/>
    <w:rsid w:val="007C0018"/>
    <w:rsid w:val="007C5E15"/>
    <w:rsid w:val="007D2DE2"/>
    <w:rsid w:val="007F54DE"/>
    <w:rsid w:val="00820E59"/>
    <w:rsid w:val="0085581C"/>
    <w:rsid w:val="00860364"/>
    <w:rsid w:val="00861522"/>
    <w:rsid w:val="0087235B"/>
    <w:rsid w:val="00885783"/>
    <w:rsid w:val="008875C9"/>
    <w:rsid w:val="008B4AFF"/>
    <w:rsid w:val="008B75ED"/>
    <w:rsid w:val="008D14C3"/>
    <w:rsid w:val="008E44E1"/>
    <w:rsid w:val="008F068A"/>
    <w:rsid w:val="00932197"/>
    <w:rsid w:val="009355A7"/>
    <w:rsid w:val="00962B39"/>
    <w:rsid w:val="009676FE"/>
    <w:rsid w:val="00973128"/>
    <w:rsid w:val="00997A80"/>
    <w:rsid w:val="009A78A3"/>
    <w:rsid w:val="009B54A8"/>
    <w:rsid w:val="009B58A8"/>
    <w:rsid w:val="009C0BAE"/>
    <w:rsid w:val="009C4684"/>
    <w:rsid w:val="009C6AED"/>
    <w:rsid w:val="009E2AFC"/>
    <w:rsid w:val="00A006F6"/>
    <w:rsid w:val="00A366F8"/>
    <w:rsid w:val="00A47DB7"/>
    <w:rsid w:val="00A720FD"/>
    <w:rsid w:val="00A73A1C"/>
    <w:rsid w:val="00AB08C7"/>
    <w:rsid w:val="00AC4B97"/>
    <w:rsid w:val="00AD2FF6"/>
    <w:rsid w:val="00AE4784"/>
    <w:rsid w:val="00B0026B"/>
    <w:rsid w:val="00B25AFC"/>
    <w:rsid w:val="00B30261"/>
    <w:rsid w:val="00B32821"/>
    <w:rsid w:val="00B41B6F"/>
    <w:rsid w:val="00B72FF4"/>
    <w:rsid w:val="00B8572B"/>
    <w:rsid w:val="00BB578C"/>
    <w:rsid w:val="00C004B0"/>
    <w:rsid w:val="00C05E6B"/>
    <w:rsid w:val="00C1099F"/>
    <w:rsid w:val="00C2480B"/>
    <w:rsid w:val="00C341C4"/>
    <w:rsid w:val="00C4042A"/>
    <w:rsid w:val="00C43058"/>
    <w:rsid w:val="00C60399"/>
    <w:rsid w:val="00C62748"/>
    <w:rsid w:val="00C75961"/>
    <w:rsid w:val="00C83A56"/>
    <w:rsid w:val="00CC18C5"/>
    <w:rsid w:val="00CD479A"/>
    <w:rsid w:val="00CF0ACE"/>
    <w:rsid w:val="00CF35DD"/>
    <w:rsid w:val="00CF6E21"/>
    <w:rsid w:val="00D01EF5"/>
    <w:rsid w:val="00D11F64"/>
    <w:rsid w:val="00D21645"/>
    <w:rsid w:val="00D23B28"/>
    <w:rsid w:val="00D327C0"/>
    <w:rsid w:val="00D33197"/>
    <w:rsid w:val="00D524E5"/>
    <w:rsid w:val="00D62091"/>
    <w:rsid w:val="00D81578"/>
    <w:rsid w:val="00DA24C9"/>
    <w:rsid w:val="00DA3816"/>
    <w:rsid w:val="00DA4E5B"/>
    <w:rsid w:val="00DB397F"/>
    <w:rsid w:val="00DC3145"/>
    <w:rsid w:val="00DC605D"/>
    <w:rsid w:val="00E020C9"/>
    <w:rsid w:val="00E23F17"/>
    <w:rsid w:val="00E24BAC"/>
    <w:rsid w:val="00E26471"/>
    <w:rsid w:val="00E3211C"/>
    <w:rsid w:val="00E33BD1"/>
    <w:rsid w:val="00E42502"/>
    <w:rsid w:val="00E52C07"/>
    <w:rsid w:val="00E57D7C"/>
    <w:rsid w:val="00EA48B1"/>
    <w:rsid w:val="00EB7557"/>
    <w:rsid w:val="00EE2B96"/>
    <w:rsid w:val="00EF0EAD"/>
    <w:rsid w:val="00EF4203"/>
    <w:rsid w:val="00EF561D"/>
    <w:rsid w:val="00F01BD0"/>
    <w:rsid w:val="00F16DA6"/>
    <w:rsid w:val="00F17F41"/>
    <w:rsid w:val="00F30B44"/>
    <w:rsid w:val="00F329C4"/>
    <w:rsid w:val="00F37314"/>
    <w:rsid w:val="00F50478"/>
    <w:rsid w:val="00F719DC"/>
    <w:rsid w:val="00F85410"/>
    <w:rsid w:val="00FA678B"/>
    <w:rsid w:val="00FC088F"/>
    <w:rsid w:val="00FC5044"/>
    <w:rsid w:val="00FD35D5"/>
    <w:rsid w:val="00FE0026"/>
    <w:rsid w:val="0A573B9B"/>
    <w:rsid w:val="1E1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7A0B"/>
  <w15:docId w15:val="{8CBD8609-DD30-46B4-9977-75C32BFB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66F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3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A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3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25b6f-cbaf-4907-aa04-2c4f6835b9fe" xsi:nil="true"/>
    <lcf76f155ced4ddcb4097134ff3c332f xmlns="00761109-788e-4dfd-9cce-d0643350e9e1">
      <Terms xmlns="http://schemas.microsoft.com/office/infopath/2007/PartnerControls"/>
    </lcf76f155ced4ddcb4097134ff3c332f>
    <date xmlns="00761109-788e-4dfd-9cce-d0643350e9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635805F2EC4F89C3E3826028420C" ma:contentTypeVersion="14" ma:contentTypeDescription="Create a new document." ma:contentTypeScope="" ma:versionID="85ecef0c6f18e4e9a28eec26fbebe691">
  <xsd:schema xmlns:xsd="http://www.w3.org/2001/XMLSchema" xmlns:xs="http://www.w3.org/2001/XMLSchema" xmlns:p="http://schemas.microsoft.com/office/2006/metadata/properties" xmlns:ns2="3d425b6f-cbaf-4907-aa04-2c4f6835b9fe" xmlns:ns3="00761109-788e-4dfd-9cce-d0643350e9e1" targetNamespace="http://schemas.microsoft.com/office/2006/metadata/properties" ma:root="true" ma:fieldsID="9ef58899f2effebe0dd0e2d4405e1538" ns2:_="" ns3:_="">
    <xsd:import namespace="3d425b6f-cbaf-4907-aa04-2c4f6835b9fe"/>
    <xsd:import namespace="00761109-788e-4dfd-9cce-d0643350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5b6f-cbaf-4907-aa04-2c4f6835b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9737d9-36c6-48e9-8105-346d04813dc6}" ma:internalName="TaxCatchAll" ma:showField="CatchAllData" ma:web="3d425b6f-cbaf-4907-aa04-2c4f6835b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61109-788e-4dfd-9cce-d0643350e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98dd63-fa28-4a99-985f-e7e46de25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4FC96-0EF4-4A9F-A53F-97A521A4C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601CD-9BA1-4372-8A81-382CB93D1B95}">
  <ds:schemaRefs>
    <ds:schemaRef ds:uri="http://purl.org/dc/terms/"/>
    <ds:schemaRef ds:uri="3d425b6f-cbaf-4907-aa04-2c4f6835b9f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0761109-788e-4dfd-9cce-d0643350e9e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F9EEDC-1BD9-43E8-B6BE-19A029ADB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5b6f-cbaf-4907-aa04-2c4f6835b9fe"/>
    <ds:schemaRef ds:uri="00761109-788e-4dfd-9cce-d0643350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F14A6-6840-48C8-9CD1-DE11BAFF8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Snježana Brezak</cp:lastModifiedBy>
  <cp:revision>817</cp:revision>
  <dcterms:created xsi:type="dcterms:W3CDTF">2025-10-07T11:03:00Z</dcterms:created>
  <dcterms:modified xsi:type="dcterms:W3CDTF">2026-01-27T08:43:00Z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0x010100E1DE635805F2EC4F89C3E3826028420C</vt:lpwstr>
  </property>
  <property fmtid="{D5CDD505-2E9C-101B-9397-08002B2CF9AE}" pid="3" name="MediaServiceImageTags">
    <vt:lpwstr/>
  </property>
</Properties>
</file>